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948B" w14:textId="77777777" w:rsidR="00C62D91" w:rsidRPr="00E55CA7" w:rsidRDefault="00C62D91">
      <w:pPr>
        <w:pBdr>
          <w:top w:val="none" w:sz="0" w:space="4" w:color="auto"/>
        </w:pBdr>
        <w:spacing w:after="0" w:line="275" w:lineRule="atLeast"/>
        <w:jc w:val="both"/>
        <w:rPr>
          <w:rFonts w:ascii="Verdana" w:hAnsi="Verdana"/>
        </w:rPr>
      </w:pPr>
      <w:bookmarkStart w:id="0" w:name="I7fda44c0f5c711ebbb39f6d769114351_Targe"/>
      <w:bookmarkStart w:id="1" w:name="co_document_1"/>
      <w:bookmarkEnd w:id="0"/>
    </w:p>
    <w:bookmarkEnd w:id="1"/>
    <w:p w14:paraId="3EF044DA" w14:textId="4D2F4F07" w:rsidR="00C64C1E" w:rsidRPr="00C64C1E" w:rsidRDefault="00996EAE" w:rsidP="00C64C1E">
      <w:pPr>
        <w:spacing w:before="200" w:after="0" w:line="300" w:lineRule="atLeast"/>
        <w:ind w:left="100" w:right="100"/>
        <w:jc w:val="center"/>
        <w:rPr>
          <w:rFonts w:ascii="Verdana" w:hAnsi="Verdana"/>
        </w:rPr>
      </w:pPr>
      <w:r w:rsidRPr="00E55CA7">
        <w:rPr>
          <w:rFonts w:ascii="Verdana" w:hAnsi="Verdana"/>
          <w:color w:val="252525"/>
        </w:rPr>
        <w:t>In Re GE/CBPS Data Breach Litigation</w:t>
      </w:r>
    </w:p>
    <w:p w14:paraId="1832993A" w14:textId="7B852BDA" w:rsidR="00C62D91" w:rsidRPr="00E55CA7" w:rsidRDefault="00000000">
      <w:pPr>
        <w:spacing w:after="0" w:line="275" w:lineRule="atLeast"/>
        <w:jc w:val="center"/>
        <w:rPr>
          <w:rFonts w:ascii="Verdana" w:hAnsi="Verdana"/>
        </w:rPr>
      </w:pPr>
      <w:r w:rsidRPr="00E55CA7">
        <w:rPr>
          <w:rFonts w:ascii="Verdana" w:hAnsi="Verdana"/>
          <w:color w:val="000000"/>
        </w:rPr>
        <w:t>2021 WL 3406374</w:t>
      </w:r>
    </w:p>
    <w:p w14:paraId="682CFBF1" w14:textId="3121E3AF" w:rsidR="00C62D91" w:rsidRPr="00E55CA7" w:rsidRDefault="00000000">
      <w:pPr>
        <w:spacing w:after="0" w:line="275" w:lineRule="atLeast"/>
        <w:jc w:val="center"/>
        <w:rPr>
          <w:rFonts w:ascii="Verdana" w:hAnsi="Verdana"/>
        </w:rPr>
      </w:pPr>
      <w:r w:rsidRPr="00E55CA7">
        <w:rPr>
          <w:rFonts w:ascii="Verdana" w:hAnsi="Verdana"/>
          <w:color w:val="000000"/>
        </w:rPr>
        <w:t>Only the Westlaw citation is currently available</w:t>
      </w:r>
    </w:p>
    <w:p w14:paraId="20CA3D65" w14:textId="28D93DBA" w:rsidR="00C62D91" w:rsidRPr="00E55CA7" w:rsidRDefault="00000000">
      <w:pPr>
        <w:spacing w:after="0" w:line="275" w:lineRule="atLeast"/>
        <w:jc w:val="center"/>
        <w:rPr>
          <w:rFonts w:ascii="Verdana" w:hAnsi="Verdana"/>
        </w:rPr>
      </w:pPr>
      <w:r w:rsidRPr="00E55CA7">
        <w:rPr>
          <w:rFonts w:ascii="Verdana" w:hAnsi="Verdana"/>
          <w:color w:val="000000"/>
        </w:rPr>
        <w:t>United States District Court, S.D. New York</w:t>
      </w:r>
    </w:p>
    <w:p w14:paraId="58FE24DE" w14:textId="77777777" w:rsidR="00C64C1E" w:rsidRDefault="00C64C1E" w:rsidP="00E55CA7">
      <w:pPr>
        <w:spacing w:after="0" w:line="240" w:lineRule="auto"/>
        <w:jc w:val="center"/>
        <w:rPr>
          <w:rFonts w:ascii="Verdana" w:hAnsi="Verdana"/>
          <w:b/>
          <w:color w:val="000000"/>
        </w:rPr>
      </w:pPr>
      <w:bookmarkStart w:id="2" w:name="co_anchor_I2162a791fea311ebb5d7f9ba62"/>
      <w:bookmarkStart w:id="3" w:name="co_anchor_I2162a791fea311ebb5d7f9ba6684"/>
      <w:bookmarkStart w:id="4" w:name="co_anchor_I2151b7a7fea311ebb5d7f9ba6684"/>
      <w:bookmarkStart w:id="5" w:name="co_opinion_1"/>
    </w:p>
    <w:p w14:paraId="003F439E" w14:textId="5F479A7A" w:rsidR="00E55CA7" w:rsidRDefault="00000000" w:rsidP="00E55CA7">
      <w:pPr>
        <w:spacing w:after="0" w:line="240" w:lineRule="auto"/>
        <w:jc w:val="center"/>
        <w:rPr>
          <w:rFonts w:ascii="Verdana" w:hAnsi="Verdana"/>
          <w:b/>
          <w:color w:val="000000"/>
        </w:rPr>
      </w:pPr>
      <w:r w:rsidRPr="00E55CA7">
        <w:rPr>
          <w:rFonts w:ascii="Verdana" w:hAnsi="Verdana"/>
          <w:b/>
          <w:color w:val="000000"/>
        </w:rPr>
        <w:t>OPINION AND ORDER</w:t>
      </w:r>
    </w:p>
    <w:p w14:paraId="7D274C38" w14:textId="77777777" w:rsidR="00E55CA7" w:rsidRPr="00E55CA7" w:rsidRDefault="00E55CA7" w:rsidP="00E55CA7">
      <w:pPr>
        <w:spacing w:after="0" w:line="240" w:lineRule="auto"/>
        <w:jc w:val="center"/>
        <w:rPr>
          <w:rFonts w:ascii="Verdana" w:hAnsi="Verdana"/>
          <w:b/>
          <w:color w:val="000000"/>
        </w:rPr>
      </w:pPr>
    </w:p>
    <w:bookmarkEnd w:id="2"/>
    <w:bookmarkEnd w:id="3"/>
    <w:bookmarkEnd w:id="4"/>
    <w:bookmarkEnd w:id="5"/>
    <w:p w14:paraId="5A98776E" w14:textId="77777777" w:rsidR="00C62D91" w:rsidRPr="00E55CA7" w:rsidRDefault="00000000" w:rsidP="00E55CA7">
      <w:pPr>
        <w:spacing w:after="0" w:line="240" w:lineRule="auto"/>
        <w:jc w:val="both"/>
        <w:rPr>
          <w:rFonts w:ascii="Verdana" w:hAnsi="Verdana"/>
        </w:rPr>
      </w:pPr>
      <w:r w:rsidRPr="00E55CA7">
        <w:rPr>
          <w:rFonts w:ascii="Verdana" w:hAnsi="Verdana"/>
        </w:rPr>
        <w:fldChar w:fldCharType="begin"/>
      </w:r>
      <w:r w:rsidRPr="00E55CA7">
        <w:rPr>
          <w:rFonts w:ascii="Verdana" w:hAnsi="Verdana"/>
        </w:rPr>
        <w:instrText xml:space="preserve"> HYPERLINK "https://www.westlaw.com/Link/Document/FullText?findType=h&amp;pubNum=176284&amp;cite=0100280201&amp;originatingDoc=I7fda44c0f5c711ebbb39f6d769114351&amp;refType=RQ&amp;originationContext=document&amp;vr=3.0&amp;rs=cblt1.0&amp;transitionType=DocumentItem&amp;contextData=(sc.Search)" \h </w:instrText>
      </w:r>
      <w:r w:rsidRPr="00E55CA7">
        <w:rPr>
          <w:rFonts w:ascii="Verdana" w:hAnsi="Verdana"/>
        </w:rPr>
        <w:fldChar w:fldCharType="separate"/>
      </w:r>
      <w:r w:rsidRPr="00E55CA7">
        <w:rPr>
          <w:rFonts w:ascii="Verdana" w:hAnsi="Verdana"/>
          <w:color w:val="0E568C"/>
        </w:rPr>
        <w:t>KATHERINE POLK FAILLA</w:t>
      </w:r>
      <w:r w:rsidRPr="00E55CA7">
        <w:rPr>
          <w:rFonts w:ascii="Verdana" w:hAnsi="Verdana"/>
          <w:color w:val="0E568C"/>
        </w:rPr>
        <w:fldChar w:fldCharType="end"/>
      </w:r>
      <w:r w:rsidRPr="00E55CA7">
        <w:rPr>
          <w:rFonts w:ascii="Verdana" w:hAnsi="Verdana"/>
          <w:color w:val="000000"/>
        </w:rPr>
        <w:t>, District Judge:</w:t>
      </w:r>
    </w:p>
    <w:p w14:paraId="262A8F01" w14:textId="2CE43002" w:rsidR="00C62D91" w:rsidRPr="00E55CA7" w:rsidRDefault="00000000">
      <w:pPr>
        <w:spacing w:before="200" w:after="0" w:line="275" w:lineRule="atLeast"/>
        <w:jc w:val="both"/>
        <w:rPr>
          <w:rFonts w:ascii="Verdana" w:hAnsi="Verdana"/>
        </w:rPr>
      </w:pPr>
      <w:r w:rsidRPr="00E55CA7">
        <w:rPr>
          <w:rFonts w:ascii="Verdana" w:hAnsi="Verdana"/>
          <w:color w:val="000000"/>
        </w:rPr>
        <w:t xml:space="preserve">A breach in early 2020 (the “Data Breach”) of an email account maintained by Defendant Canon Business Process Services, Inc. (“Canon”) resulted in an unauthorized </w:t>
      </w:r>
      <w:proofErr w:type="gramStart"/>
      <w:r w:rsidRPr="00E55CA7">
        <w:rPr>
          <w:rFonts w:ascii="Verdana" w:hAnsi="Verdana"/>
          <w:color w:val="000000"/>
        </w:rPr>
        <w:t>third party</w:t>
      </w:r>
      <w:proofErr w:type="gramEnd"/>
      <w:r w:rsidRPr="00E55CA7">
        <w:rPr>
          <w:rFonts w:ascii="Verdana" w:hAnsi="Verdana"/>
          <w:color w:val="000000"/>
        </w:rPr>
        <w:t xml:space="preserve"> gaining access to personally identifiable information (“PII”) of current and former employees of Defendant General Electric Company (“GE,” and collectively with Canon, “Defendants”) and their beneficiaries. Canon maintained this information as a provider of business process and document management services to GE. Plaintiff Steven Fowler (“Plaintiff” or “Fowler”), a former GE employee, then </w:t>
      </w:r>
      <w:proofErr w:type="gramStart"/>
      <w:r w:rsidRPr="00E55CA7">
        <w:rPr>
          <w:rFonts w:ascii="Verdana" w:hAnsi="Verdana"/>
          <w:color w:val="000000"/>
        </w:rPr>
        <w:t>brought suit against</w:t>
      </w:r>
      <w:proofErr w:type="gramEnd"/>
      <w:r w:rsidRPr="00E55CA7">
        <w:rPr>
          <w:rFonts w:ascii="Verdana" w:hAnsi="Verdana"/>
          <w:color w:val="000000"/>
        </w:rPr>
        <w:t xml:space="preserve"> Defendants on behalf of himself and all others similarly situated, seeking redress for harms they allegedly have suffered and are at risk of suffering in the future as a result of the Data Breach. Defendants have moved to dismiss the Consolidated Class Action Complaint for lack of subject matter jurisdiction and failure to state a claim upon which relief may be granted. For the reasons set forth herein, the Court grants Defendants’ motion in part and denies it in part.</w:t>
      </w:r>
    </w:p>
    <w:p w14:paraId="49BCDD40"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6D80A974" w14:textId="2FFC74CC" w:rsidR="00C62D91" w:rsidRPr="00E55CA7" w:rsidRDefault="00000000">
      <w:pPr>
        <w:spacing w:before="400" w:after="0" w:line="275" w:lineRule="atLeast"/>
        <w:jc w:val="center"/>
        <w:rPr>
          <w:rFonts w:ascii="Verdana" w:hAnsi="Verdana"/>
        </w:rPr>
      </w:pPr>
      <w:bookmarkStart w:id="6" w:name="co_anchor_I216391f1fea311ebb5d7f9ba6684"/>
      <w:r w:rsidRPr="00E55CA7">
        <w:rPr>
          <w:rFonts w:ascii="Verdana" w:hAnsi="Verdana"/>
          <w:b/>
          <w:color w:val="000000"/>
        </w:rPr>
        <w:t>BACKGROUND</w:t>
      </w:r>
    </w:p>
    <w:p w14:paraId="7BF1B2BC" w14:textId="77777777" w:rsidR="00C62D91" w:rsidRPr="00E55CA7" w:rsidRDefault="00000000">
      <w:pPr>
        <w:spacing w:before="600" w:after="0" w:line="275" w:lineRule="atLeast"/>
        <w:rPr>
          <w:rFonts w:ascii="Verdana" w:hAnsi="Verdana"/>
        </w:rPr>
      </w:pPr>
      <w:bookmarkStart w:id="7" w:name="co_anchor_I216566b0fea311ebb5d7f9ba62"/>
      <w:bookmarkStart w:id="8" w:name="co_anchor_I216566b0fea311ebb5d7f9ba6684"/>
      <w:bookmarkEnd w:id="6"/>
      <w:r w:rsidRPr="00E55CA7">
        <w:rPr>
          <w:rFonts w:ascii="Verdana" w:hAnsi="Verdana"/>
          <w:b/>
          <w:color w:val="000000"/>
        </w:rPr>
        <w:t>A. Factual Background</w:t>
      </w:r>
    </w:p>
    <w:p w14:paraId="0262D036" w14:textId="77777777" w:rsidR="00C62D91" w:rsidRPr="00E55CA7" w:rsidRDefault="00000000">
      <w:pPr>
        <w:pBdr>
          <w:left w:val="none" w:sz="0" w:space="10" w:color="auto"/>
        </w:pBdr>
        <w:spacing w:before="400" w:after="0" w:line="275" w:lineRule="atLeast"/>
        <w:ind w:left="200"/>
        <w:rPr>
          <w:rFonts w:ascii="Verdana" w:hAnsi="Verdana"/>
        </w:rPr>
      </w:pPr>
      <w:bookmarkStart w:id="9" w:name="co_anchor_I216566b0fea311ebb5d7f9ba63"/>
      <w:bookmarkEnd w:id="7"/>
      <w:bookmarkEnd w:id="8"/>
      <w:r w:rsidRPr="00E55CA7">
        <w:rPr>
          <w:rFonts w:ascii="Verdana" w:hAnsi="Verdana"/>
          <w:b/>
          <w:color w:val="000000"/>
        </w:rPr>
        <w:t>1. The Parties</w:t>
      </w:r>
    </w:p>
    <w:bookmarkEnd w:id="9"/>
    <w:p w14:paraId="23DA491D" w14:textId="77777777" w:rsidR="00C62D91" w:rsidRPr="00E55CA7" w:rsidRDefault="00000000">
      <w:pPr>
        <w:spacing w:after="0" w:line="275" w:lineRule="atLeast"/>
        <w:jc w:val="both"/>
        <w:rPr>
          <w:rFonts w:ascii="Verdana" w:hAnsi="Verdana"/>
        </w:rPr>
      </w:pPr>
      <w:r w:rsidRPr="00E55CA7">
        <w:rPr>
          <w:rFonts w:ascii="Verdana" w:hAnsi="Verdana"/>
          <w:color w:val="000000"/>
        </w:rPr>
        <w:t>Plaintiff Steven Fowler is a citizen of the State of Kentucky. (</w:t>
      </w:r>
      <w:proofErr w:type="spellStart"/>
      <w:r w:rsidRPr="00E55CA7">
        <w:rPr>
          <w:rFonts w:ascii="Verdana" w:hAnsi="Verdana"/>
          <w:color w:val="000000"/>
        </w:rPr>
        <w:t>Compl</w:t>
      </w:r>
      <w:proofErr w:type="spellEnd"/>
      <w:r w:rsidRPr="00E55CA7">
        <w:rPr>
          <w:rFonts w:ascii="Verdana" w:hAnsi="Verdana"/>
          <w:color w:val="000000"/>
        </w:rPr>
        <w:t>. ¶ 21). He is a former employee of Defendant GE. (</w:t>
      </w:r>
      <w:r w:rsidRPr="00E55CA7">
        <w:rPr>
          <w:rFonts w:ascii="Verdana" w:hAnsi="Verdana"/>
          <w:i/>
          <w:color w:val="000000"/>
        </w:rPr>
        <w:t>Id.</w:t>
      </w:r>
      <w:r w:rsidRPr="00E55CA7">
        <w:rPr>
          <w:rFonts w:ascii="Verdana" w:hAnsi="Verdana"/>
          <w:color w:val="000000"/>
        </w:rPr>
        <w:t>). While employed at GE, Fowler was required to provide sensitive personal information to GE. (</w:t>
      </w:r>
      <w:r w:rsidRPr="00E55CA7">
        <w:rPr>
          <w:rFonts w:ascii="Verdana" w:hAnsi="Verdana"/>
          <w:i/>
          <w:color w:val="000000"/>
        </w:rPr>
        <w:t>Id.</w:t>
      </w:r>
      <w:r w:rsidRPr="00E55CA7">
        <w:rPr>
          <w:rFonts w:ascii="Verdana" w:hAnsi="Verdana"/>
          <w:color w:val="000000"/>
        </w:rPr>
        <w:t>). On or about March 20, 2020, GE notified Fowler that his PII had been compromised in the Data Breach. (</w:t>
      </w:r>
      <w:r w:rsidRPr="00E55CA7">
        <w:rPr>
          <w:rFonts w:ascii="Verdana" w:hAnsi="Verdana"/>
          <w:i/>
          <w:color w:val="000000"/>
        </w:rPr>
        <w:t>Id.</w:t>
      </w:r>
      <w:r w:rsidRPr="00E55CA7">
        <w:rPr>
          <w:rFonts w:ascii="Verdana" w:hAnsi="Verdana"/>
          <w:color w:val="000000"/>
        </w:rPr>
        <w:t>).</w:t>
      </w:r>
    </w:p>
    <w:p w14:paraId="0833986F"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3E6B9BF6" w14:textId="77777777" w:rsidR="00C62D91" w:rsidRPr="00E55CA7" w:rsidRDefault="00000000">
      <w:pPr>
        <w:spacing w:after="0" w:line="275" w:lineRule="atLeast"/>
        <w:jc w:val="both"/>
        <w:rPr>
          <w:rFonts w:ascii="Verdana" w:hAnsi="Verdana"/>
        </w:rPr>
      </w:pPr>
      <w:r w:rsidRPr="00E55CA7">
        <w:rPr>
          <w:rFonts w:ascii="Verdana" w:hAnsi="Verdana"/>
          <w:color w:val="000000"/>
        </w:rPr>
        <w:t>Defendant GE is a New York corporation with its headquarters in Boston, Massachusetts. (</w:t>
      </w:r>
      <w:proofErr w:type="spellStart"/>
      <w:r w:rsidRPr="00E55CA7">
        <w:rPr>
          <w:rFonts w:ascii="Verdana" w:hAnsi="Verdana"/>
          <w:color w:val="000000"/>
        </w:rPr>
        <w:t>Compl</w:t>
      </w:r>
      <w:proofErr w:type="spellEnd"/>
      <w:r w:rsidRPr="00E55CA7">
        <w:rPr>
          <w:rFonts w:ascii="Verdana" w:hAnsi="Verdana"/>
          <w:color w:val="000000"/>
        </w:rPr>
        <w:t>. ¶ 22). Defendant Canon is a Delaware corporation with its principal place of business in the State and City of New York. (</w:t>
      </w:r>
      <w:r w:rsidRPr="00E55CA7">
        <w:rPr>
          <w:rFonts w:ascii="Verdana" w:hAnsi="Verdana"/>
          <w:i/>
          <w:color w:val="000000"/>
        </w:rPr>
        <w:t>Id.</w:t>
      </w:r>
      <w:r w:rsidRPr="00E55CA7">
        <w:rPr>
          <w:rFonts w:ascii="Verdana" w:hAnsi="Verdana"/>
          <w:color w:val="000000"/>
        </w:rPr>
        <w:t xml:space="preserve"> at ¶ 23).</w:t>
      </w:r>
    </w:p>
    <w:p w14:paraId="414B0AB4"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76E6692A" w14:textId="77777777" w:rsidR="00C62D91" w:rsidRPr="00E55CA7" w:rsidRDefault="00000000">
      <w:pPr>
        <w:pBdr>
          <w:left w:val="none" w:sz="0" w:space="10" w:color="auto"/>
        </w:pBdr>
        <w:spacing w:before="400" w:after="0" w:line="275" w:lineRule="atLeast"/>
        <w:ind w:left="200"/>
        <w:rPr>
          <w:rFonts w:ascii="Verdana" w:hAnsi="Verdana"/>
        </w:rPr>
      </w:pPr>
      <w:bookmarkStart w:id="10" w:name="co_anchor_I2166c641fea311ebb5d7f9ba62"/>
      <w:bookmarkStart w:id="11" w:name="co_anchor_I2166c641fea311ebb5d7f9ba6684"/>
      <w:r w:rsidRPr="00E55CA7">
        <w:rPr>
          <w:rFonts w:ascii="Verdana" w:hAnsi="Verdana"/>
          <w:b/>
          <w:color w:val="000000"/>
        </w:rPr>
        <w:t>2. GE's Data Collection and Protection Policies</w:t>
      </w:r>
    </w:p>
    <w:bookmarkEnd w:id="10"/>
    <w:bookmarkEnd w:id="11"/>
    <w:p w14:paraId="005D5EEE" w14:textId="0EB8D0AA" w:rsidR="00C62D91" w:rsidRPr="00E55CA7" w:rsidRDefault="00000000">
      <w:pPr>
        <w:spacing w:after="0" w:line="275" w:lineRule="atLeast"/>
        <w:jc w:val="both"/>
        <w:rPr>
          <w:rFonts w:ascii="Verdana" w:hAnsi="Verdana"/>
        </w:rPr>
      </w:pPr>
      <w:r w:rsidRPr="00E55CA7">
        <w:rPr>
          <w:rFonts w:ascii="Verdana" w:hAnsi="Verdana"/>
          <w:color w:val="000000"/>
        </w:rPr>
        <w:lastRenderedPageBreak/>
        <w:t>As a condition of employment, GE collects and maintains personal and financial information about its employees and their dependents or other beneficiaries. (</w:t>
      </w:r>
      <w:proofErr w:type="spellStart"/>
      <w:r w:rsidRPr="00E55CA7">
        <w:rPr>
          <w:rFonts w:ascii="Verdana" w:hAnsi="Verdana"/>
          <w:color w:val="000000"/>
        </w:rPr>
        <w:t>Compl</w:t>
      </w:r>
      <w:proofErr w:type="spellEnd"/>
      <w:r w:rsidRPr="00E55CA7">
        <w:rPr>
          <w:rFonts w:ascii="Verdana" w:hAnsi="Verdana"/>
          <w:color w:val="000000"/>
        </w:rPr>
        <w:t>. ¶ 27). Among the types of information collected are “employment data obtained in the context of an employment relationship” and “any information relating to a directly or indirectly identifiable person,” including “name, address, email, phone, national identifier, and credit card number.” (</w:t>
      </w:r>
      <w:r w:rsidRPr="00E55CA7">
        <w:rPr>
          <w:rFonts w:ascii="Verdana" w:hAnsi="Verdana"/>
          <w:i/>
          <w:color w:val="000000"/>
        </w:rPr>
        <w:t>Id.</w:t>
      </w:r>
      <w:r w:rsidRPr="00E55CA7">
        <w:rPr>
          <w:rFonts w:ascii="Verdana" w:hAnsi="Verdana"/>
          <w:color w:val="000000"/>
        </w:rPr>
        <w:t>).</w:t>
      </w:r>
    </w:p>
    <w:p w14:paraId="190F8EE1"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04E90CFC" w14:textId="77777777" w:rsidR="00C62D91" w:rsidRPr="00E55CA7" w:rsidRDefault="00000000">
      <w:pPr>
        <w:spacing w:after="0" w:line="275" w:lineRule="atLeast"/>
        <w:jc w:val="both"/>
        <w:rPr>
          <w:rFonts w:ascii="Verdana" w:hAnsi="Verdana"/>
        </w:rPr>
      </w:pPr>
      <w:r w:rsidRPr="00E55CA7">
        <w:rPr>
          <w:rFonts w:ascii="Verdana" w:hAnsi="Verdana"/>
          <w:color w:val="000000"/>
        </w:rPr>
        <w:t>GE has written and publicly distributed several policy documents that touch on privacy and information security. On its website, GE advertises that it “respects the privacy rights of individuals and is committed to handling Personal Information responsibly, in accordance with applicable law ... and GE's Commitment to the Protection of Personal Information[.]” (</w:t>
      </w:r>
      <w:proofErr w:type="spellStart"/>
      <w:r w:rsidRPr="00E55CA7">
        <w:rPr>
          <w:rFonts w:ascii="Verdana" w:hAnsi="Verdana"/>
          <w:color w:val="000000"/>
        </w:rPr>
        <w:t>Compl</w:t>
      </w:r>
      <w:proofErr w:type="spellEnd"/>
      <w:r w:rsidRPr="00E55CA7">
        <w:rPr>
          <w:rFonts w:ascii="Verdana" w:hAnsi="Verdana"/>
          <w:color w:val="000000"/>
        </w:rPr>
        <w:t>. ¶ 30). In its Commitment to the Protection of Personal Information, GE states:</w:t>
      </w:r>
    </w:p>
    <w:p w14:paraId="7BA3C6B6" w14:textId="77777777" w:rsidR="00C62D91" w:rsidRPr="00E55CA7" w:rsidRDefault="00000000">
      <w:pPr>
        <w:spacing w:before="200" w:after="0" w:line="275" w:lineRule="atLeast"/>
        <w:ind w:left="480" w:right="480"/>
        <w:jc w:val="both"/>
        <w:rPr>
          <w:rFonts w:ascii="Verdana" w:hAnsi="Verdana"/>
        </w:rPr>
      </w:pPr>
      <w:r w:rsidRPr="00E55CA7">
        <w:rPr>
          <w:rFonts w:ascii="Verdana" w:hAnsi="Verdana"/>
          <w:color w:val="000000"/>
        </w:rPr>
        <w:t xml:space="preserve">GE strives to protect Personal Information with appropriate technical and organizational measures to ensure its integrity, confidentiality, </w:t>
      </w:r>
      <w:proofErr w:type="gramStart"/>
      <w:r w:rsidRPr="00E55CA7">
        <w:rPr>
          <w:rFonts w:ascii="Verdana" w:hAnsi="Verdana"/>
          <w:color w:val="000000"/>
        </w:rPr>
        <w:t>security</w:t>
      </w:r>
      <w:proofErr w:type="gramEnd"/>
      <w:r w:rsidRPr="00E55CA7">
        <w:rPr>
          <w:rFonts w:ascii="Verdana" w:hAnsi="Verdana"/>
          <w:color w:val="000000"/>
        </w:rPr>
        <w:t xml:space="preserve"> and availability. GE will inform individuals of a security breach affecting their GE Personal Information that could pose a high risk to their individual rights and freedoms. In accordance with applicable law, GE will provide reasonable assistance to Customers, where GE is a processor, to ensure the security of their processing and will inform GE Customers of a security breach of GE Customer Personal Information as required under such laws.</w:t>
      </w:r>
    </w:p>
    <w:p w14:paraId="550B3C18" w14:textId="77777777" w:rsidR="00C62D91" w:rsidRPr="00E55CA7" w:rsidRDefault="00000000">
      <w:pPr>
        <w:spacing w:before="200" w:after="0" w:line="275" w:lineRule="atLeast"/>
        <w:jc w:val="both"/>
        <w:rPr>
          <w:rFonts w:ascii="Verdana" w:hAnsi="Verdana"/>
        </w:rPr>
      </w:pPr>
      <w:r w:rsidRPr="00E55CA7">
        <w:rPr>
          <w:rFonts w:ascii="Verdana" w:hAnsi="Verdana"/>
          <w:color w:val="000000"/>
        </w:rPr>
        <w:t>(</w:t>
      </w:r>
      <w:r w:rsidRPr="00E55CA7">
        <w:rPr>
          <w:rFonts w:ascii="Verdana" w:hAnsi="Verdana"/>
          <w:i/>
          <w:color w:val="000000"/>
        </w:rPr>
        <w:t>Id.</w:t>
      </w:r>
      <w:r w:rsidRPr="00E55CA7">
        <w:rPr>
          <w:rFonts w:ascii="Verdana" w:hAnsi="Verdana"/>
          <w:color w:val="000000"/>
        </w:rPr>
        <w:t xml:space="preserve"> at ¶ 31). GE also addresses its handling of PII in its Employment Data Protection Standards and in a </w:t>
      </w:r>
      <w:proofErr w:type="gramStart"/>
      <w:r w:rsidRPr="00E55CA7">
        <w:rPr>
          <w:rFonts w:ascii="Verdana" w:hAnsi="Verdana"/>
          <w:color w:val="000000"/>
        </w:rPr>
        <w:t>policy</w:t>
      </w:r>
      <w:proofErr w:type="gramEnd"/>
      <w:r w:rsidRPr="00E55CA7">
        <w:rPr>
          <w:rFonts w:ascii="Verdana" w:hAnsi="Verdana"/>
          <w:color w:val="000000"/>
        </w:rPr>
        <w:t xml:space="preserve"> document called “The Spirit &amp; The Letter.” (</w:t>
      </w:r>
      <w:r w:rsidRPr="00E55CA7">
        <w:rPr>
          <w:rFonts w:ascii="Verdana" w:hAnsi="Verdana"/>
          <w:i/>
          <w:color w:val="000000"/>
        </w:rPr>
        <w:t>Id.</w:t>
      </w:r>
      <w:r w:rsidRPr="00E55CA7">
        <w:rPr>
          <w:rFonts w:ascii="Verdana" w:hAnsi="Verdana"/>
          <w:color w:val="000000"/>
        </w:rPr>
        <w:t xml:space="preserve"> at ¶¶ 33-37). The Employment Data Protection Standards address in greater detail measures GE takes to protect PII, including measures related to equipment and information security, access security, and training. (</w:t>
      </w:r>
      <w:r w:rsidRPr="00E55CA7">
        <w:rPr>
          <w:rFonts w:ascii="Verdana" w:hAnsi="Verdana"/>
          <w:i/>
          <w:color w:val="000000"/>
        </w:rPr>
        <w:t>Id.</w:t>
      </w:r>
      <w:r w:rsidRPr="00E55CA7">
        <w:rPr>
          <w:rFonts w:ascii="Verdana" w:hAnsi="Verdana"/>
          <w:color w:val="000000"/>
        </w:rPr>
        <w:t xml:space="preserve"> at ¶ 37). “The Spirit &amp; The Letter” instructs employees in best practices for limiting access to GE information to authorized individuals and preventing unauthorized access, disclosure, or destruction. (</w:t>
      </w:r>
      <w:r w:rsidRPr="00E55CA7">
        <w:rPr>
          <w:rFonts w:ascii="Verdana" w:hAnsi="Verdana"/>
          <w:i/>
          <w:color w:val="000000"/>
        </w:rPr>
        <w:t>Id.</w:t>
      </w:r>
      <w:r w:rsidRPr="00E55CA7">
        <w:rPr>
          <w:rFonts w:ascii="Verdana" w:hAnsi="Verdana"/>
          <w:color w:val="000000"/>
        </w:rPr>
        <w:t xml:space="preserve"> at ¶ 39). It also provides that “non-controlled affiliates should be encouraged to adopt and follow GE compliance policies.” (The Spirit &amp; The Letter at 2).</w:t>
      </w:r>
    </w:p>
    <w:p w14:paraId="2B0D3A10"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35794D62" w14:textId="77777777" w:rsidR="00C62D91" w:rsidRPr="00E55CA7" w:rsidRDefault="00000000">
      <w:pPr>
        <w:pBdr>
          <w:left w:val="none" w:sz="0" w:space="10" w:color="auto"/>
        </w:pBdr>
        <w:spacing w:before="400" w:after="0" w:line="275" w:lineRule="atLeast"/>
        <w:ind w:left="200"/>
        <w:rPr>
          <w:rFonts w:ascii="Verdana" w:hAnsi="Verdana"/>
        </w:rPr>
      </w:pPr>
      <w:bookmarkStart w:id="12" w:name="co_anchor_I2168e921fea311ebb5d7f9ba62"/>
      <w:bookmarkStart w:id="13" w:name="co_anchor_I2168e921fea311ebb5d7f9ba6684"/>
      <w:r w:rsidRPr="00E55CA7">
        <w:rPr>
          <w:rFonts w:ascii="Verdana" w:hAnsi="Verdana"/>
          <w:b/>
          <w:color w:val="000000"/>
        </w:rPr>
        <w:t>3. The Data Breach and Its Consequences</w:t>
      </w:r>
    </w:p>
    <w:bookmarkEnd w:id="12"/>
    <w:bookmarkEnd w:id="13"/>
    <w:p w14:paraId="099A6CB7" w14:textId="77777777" w:rsidR="00C62D91" w:rsidRPr="00E55CA7" w:rsidRDefault="00000000">
      <w:pPr>
        <w:spacing w:after="0" w:line="275" w:lineRule="atLeast"/>
        <w:jc w:val="both"/>
        <w:rPr>
          <w:rFonts w:ascii="Verdana" w:hAnsi="Verdana"/>
        </w:rPr>
      </w:pPr>
      <w:r w:rsidRPr="00E55CA7">
        <w:rPr>
          <w:rFonts w:ascii="Verdana" w:hAnsi="Verdana"/>
          <w:color w:val="000000"/>
        </w:rPr>
        <w:t>GE contracts with Canon to process documents relating to current and former GE employees and their beneficiaries. (</w:t>
      </w:r>
      <w:proofErr w:type="spellStart"/>
      <w:r w:rsidRPr="00E55CA7">
        <w:rPr>
          <w:rFonts w:ascii="Verdana" w:hAnsi="Verdana"/>
          <w:color w:val="000000"/>
        </w:rPr>
        <w:t>Compl</w:t>
      </w:r>
      <w:proofErr w:type="spellEnd"/>
      <w:r w:rsidRPr="00E55CA7">
        <w:rPr>
          <w:rFonts w:ascii="Verdana" w:hAnsi="Verdana"/>
          <w:color w:val="000000"/>
        </w:rPr>
        <w:t>. ¶ 41). On March 20, 2020, GE issued a data breach notice stating that in February 2020, one of Canon's employee email accounts had been breached by an unauthorized party. (</w:t>
      </w:r>
      <w:r w:rsidRPr="00E55CA7">
        <w:rPr>
          <w:rFonts w:ascii="Verdana" w:hAnsi="Verdana"/>
          <w:i/>
          <w:color w:val="000000"/>
        </w:rPr>
        <w:t>Id.</w:t>
      </w:r>
      <w:r w:rsidRPr="00E55CA7">
        <w:rPr>
          <w:rFonts w:ascii="Verdana" w:hAnsi="Verdana"/>
          <w:color w:val="000000"/>
        </w:rPr>
        <w:t xml:space="preserve"> at ¶ 43). The notice states:</w:t>
      </w:r>
    </w:p>
    <w:p w14:paraId="0449603B" w14:textId="77777777" w:rsidR="00C62D91" w:rsidRPr="00E55CA7" w:rsidRDefault="00000000">
      <w:pPr>
        <w:spacing w:before="200" w:after="0" w:line="275" w:lineRule="atLeast"/>
        <w:ind w:left="480" w:right="480"/>
        <w:jc w:val="both"/>
        <w:rPr>
          <w:rFonts w:ascii="Verdana" w:hAnsi="Verdana"/>
        </w:rPr>
      </w:pPr>
      <w:r w:rsidRPr="00E55CA7">
        <w:rPr>
          <w:rFonts w:ascii="Verdana" w:hAnsi="Verdana"/>
          <w:color w:val="000000"/>
        </w:rPr>
        <w:t xml:space="preserve">We were notified on February 28, 2020 that Canon had determined that, between approximately February 3-14, 2020, an unauthorized party gained access to an email account that contained documents of certain GE employees, former employees and beneficiaries entitled to benefits that were maintained on Canon's systems.... Canon has indicated that the affected documents, which contained certain personal information, were uploaded by or for GE employees, former </w:t>
      </w:r>
      <w:r w:rsidRPr="00E55CA7">
        <w:rPr>
          <w:rFonts w:ascii="Verdana" w:hAnsi="Verdana"/>
          <w:color w:val="000000"/>
        </w:rPr>
        <w:lastRenderedPageBreak/>
        <w:t>employees and beneficiaries entitled to benefits in connection with Canon's workflow routing service. The relevant personal information, which was contained in documents such as direct deposit forms, driver's licenses, passports, birth certificates, marriage certificates, death certificates, medical child support orders, tax withholding forms, beneficiary designation forms and applications for benefits such as retirement, severance and death benefits with related forms and documents, may have included names, addresses, Social Security numbers, driver's license numbers, bank account numbers, passport numbers, dates of birth, and other information contained in the relevant forms.</w:t>
      </w:r>
    </w:p>
    <w:p w14:paraId="0DFD704F" w14:textId="15846AB3" w:rsidR="00C62D91" w:rsidRPr="00E55CA7" w:rsidRDefault="00000000">
      <w:pPr>
        <w:spacing w:before="200" w:after="0" w:line="275" w:lineRule="atLeast"/>
        <w:jc w:val="both"/>
        <w:rPr>
          <w:rFonts w:ascii="Verdana" w:hAnsi="Verdana"/>
        </w:rPr>
      </w:pPr>
      <w:r w:rsidRPr="00E55CA7">
        <w:rPr>
          <w:rFonts w:ascii="Verdana" w:hAnsi="Verdana"/>
          <w:color w:val="000000"/>
        </w:rPr>
        <w:t>(</w:t>
      </w:r>
      <w:r w:rsidRPr="00E55CA7">
        <w:rPr>
          <w:rFonts w:ascii="Verdana" w:hAnsi="Verdana"/>
          <w:i/>
          <w:color w:val="000000"/>
        </w:rPr>
        <w:t>Id.</w:t>
      </w:r>
      <w:r w:rsidRPr="00E55CA7">
        <w:rPr>
          <w:rFonts w:ascii="Verdana" w:hAnsi="Verdana"/>
          <w:color w:val="000000"/>
        </w:rPr>
        <w:t xml:space="preserve"> at ¶ 44). Analysis by members of the public suggested that the Data Breach was the result of a “standard credential phishing attack or due to credential reuse on another site.” (</w:t>
      </w:r>
      <w:r w:rsidRPr="00E55CA7">
        <w:rPr>
          <w:rFonts w:ascii="Verdana" w:hAnsi="Verdana"/>
          <w:i/>
          <w:color w:val="000000"/>
        </w:rPr>
        <w:t>Id.</w:t>
      </w:r>
      <w:r w:rsidRPr="00E55CA7">
        <w:rPr>
          <w:rFonts w:ascii="Verdana" w:hAnsi="Verdana"/>
          <w:color w:val="000000"/>
        </w:rPr>
        <w:t xml:space="preserve"> at ¶ 46).</w:t>
      </w:r>
    </w:p>
    <w:p w14:paraId="4ECA3501"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3E604AF2" w14:textId="77777777" w:rsidR="00C62D91" w:rsidRPr="00E55CA7" w:rsidRDefault="00000000">
      <w:pPr>
        <w:spacing w:after="0" w:line="275" w:lineRule="atLeast"/>
        <w:jc w:val="both"/>
        <w:rPr>
          <w:rFonts w:ascii="Verdana" w:hAnsi="Verdana"/>
        </w:rPr>
      </w:pPr>
      <w:r w:rsidRPr="00E55CA7">
        <w:rPr>
          <w:rFonts w:ascii="Verdana" w:hAnsi="Verdana"/>
          <w:color w:val="000000"/>
        </w:rPr>
        <w:t>Canon determined that, as a result of the Data Breach, unauthorized persons may have obtained Fowler's name, employee identification number, home address, phone number, and email address. (Allen Decl. ¶ 6). After the Data Breach, Fowler received phishing and scam emails to his personal email address, and phishing and scam phone calls to his personal phone number. (Fowler Decl. ¶¶ 2-3). Other proposed class members allegedly suffered increased risk of identity theft and fraud; the time and expense necessary to remediate and mitigate the increased risk of identity theft and fraud; the inability to use debit cards because those cards had been canceled, suspended, or otherwise rendered unusable; fraudulent debit charges; and loss of confidentiality and value of their personal and financial information. (</w:t>
      </w:r>
      <w:proofErr w:type="spellStart"/>
      <w:r w:rsidRPr="00E55CA7">
        <w:rPr>
          <w:rFonts w:ascii="Verdana" w:hAnsi="Verdana"/>
          <w:color w:val="000000"/>
        </w:rPr>
        <w:t>Compl</w:t>
      </w:r>
      <w:proofErr w:type="spellEnd"/>
      <w:r w:rsidRPr="00E55CA7">
        <w:rPr>
          <w:rFonts w:ascii="Verdana" w:hAnsi="Verdana"/>
          <w:color w:val="000000"/>
        </w:rPr>
        <w:t>. ¶¶ 79, 88(l), 104, 112, 119, 125, 182).</w:t>
      </w:r>
    </w:p>
    <w:p w14:paraId="0F27E8C1"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0918E87E" w14:textId="77777777" w:rsidR="00C62D91" w:rsidRPr="00E55CA7" w:rsidRDefault="00000000">
      <w:pPr>
        <w:spacing w:after="0" w:line="275" w:lineRule="atLeast"/>
        <w:jc w:val="both"/>
        <w:rPr>
          <w:rFonts w:ascii="Verdana" w:hAnsi="Verdana"/>
        </w:rPr>
      </w:pPr>
      <w:r w:rsidRPr="00E55CA7">
        <w:rPr>
          <w:rFonts w:ascii="Verdana" w:hAnsi="Verdana"/>
          <w:color w:val="000000"/>
        </w:rPr>
        <w:t>Defendants have offered individuals whose data was compromised identity theft and credit monitoring services at no charge for two years. (</w:t>
      </w:r>
      <w:proofErr w:type="spellStart"/>
      <w:r w:rsidRPr="00E55CA7">
        <w:rPr>
          <w:rFonts w:ascii="Verdana" w:hAnsi="Verdana"/>
          <w:color w:val="000000"/>
        </w:rPr>
        <w:t>Compl</w:t>
      </w:r>
      <w:proofErr w:type="spellEnd"/>
      <w:r w:rsidRPr="00E55CA7">
        <w:rPr>
          <w:rFonts w:ascii="Verdana" w:hAnsi="Verdana"/>
          <w:color w:val="000000"/>
        </w:rPr>
        <w:t>. ¶ 66). However, no compensation or other form of relief has been provided. (</w:t>
      </w:r>
      <w:r w:rsidRPr="00E55CA7">
        <w:rPr>
          <w:rFonts w:ascii="Verdana" w:hAnsi="Verdana"/>
          <w:i/>
          <w:color w:val="000000"/>
        </w:rPr>
        <w:t>Id.</w:t>
      </w:r>
      <w:r w:rsidRPr="00E55CA7">
        <w:rPr>
          <w:rFonts w:ascii="Verdana" w:hAnsi="Verdana"/>
          <w:color w:val="000000"/>
        </w:rPr>
        <w:t>).</w:t>
      </w:r>
    </w:p>
    <w:p w14:paraId="1B9BDBFA" w14:textId="47C76DF7" w:rsidR="00C62D91" w:rsidRDefault="00000000">
      <w:pPr>
        <w:spacing w:after="0" w:line="275" w:lineRule="atLeast"/>
        <w:jc w:val="both"/>
        <w:rPr>
          <w:rFonts w:ascii="Verdana" w:hAnsi="Verdana"/>
          <w:color w:val="000000"/>
        </w:rPr>
      </w:pPr>
      <w:r w:rsidRPr="00E55CA7">
        <w:rPr>
          <w:rFonts w:ascii="Verdana" w:hAnsi="Verdana"/>
          <w:color w:val="000000"/>
        </w:rPr>
        <w:t> </w:t>
      </w:r>
    </w:p>
    <w:p w14:paraId="48D26689" w14:textId="7F76910E" w:rsidR="00800992" w:rsidRPr="00E55CA7" w:rsidRDefault="00800992">
      <w:pPr>
        <w:spacing w:after="0" w:line="275" w:lineRule="atLeast"/>
        <w:jc w:val="both"/>
        <w:rPr>
          <w:rFonts w:ascii="Verdana" w:hAnsi="Verdana"/>
        </w:rPr>
      </w:pPr>
      <w:r>
        <w:rPr>
          <w:rFonts w:ascii="Verdana" w:hAnsi="Verdana"/>
          <w:color w:val="000000"/>
        </w:rPr>
        <w:t>***</w:t>
      </w:r>
    </w:p>
    <w:p w14:paraId="04BEC8D9"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262BE0FC" w14:textId="77777777" w:rsidR="00C62D91" w:rsidRPr="00E55CA7" w:rsidRDefault="00000000">
      <w:pPr>
        <w:spacing w:before="400" w:after="0" w:line="275" w:lineRule="atLeast"/>
        <w:jc w:val="center"/>
        <w:rPr>
          <w:rFonts w:ascii="Verdana" w:hAnsi="Verdana"/>
        </w:rPr>
      </w:pPr>
      <w:bookmarkStart w:id="14" w:name="co_anchor_I216e6761fea311ebb5d7f9ba6684"/>
      <w:r w:rsidRPr="00E55CA7">
        <w:rPr>
          <w:rFonts w:ascii="Verdana" w:hAnsi="Verdana"/>
          <w:b/>
          <w:color w:val="000000"/>
        </w:rPr>
        <w:t>DISCUSSION</w:t>
      </w:r>
    </w:p>
    <w:bookmarkEnd w:id="14"/>
    <w:p w14:paraId="399ADE75" w14:textId="77777777" w:rsidR="00C64C1E" w:rsidRDefault="00C64C1E">
      <w:pPr>
        <w:spacing w:after="0" w:line="275" w:lineRule="atLeast"/>
        <w:jc w:val="both"/>
        <w:rPr>
          <w:rFonts w:ascii="Verdana" w:hAnsi="Verdana"/>
          <w:color w:val="000000"/>
        </w:rPr>
      </w:pPr>
    </w:p>
    <w:p w14:paraId="28C60491" w14:textId="73B4F166" w:rsidR="00C62D91" w:rsidRPr="00E55CA7" w:rsidRDefault="00C64C1E">
      <w:pPr>
        <w:spacing w:after="0" w:line="275" w:lineRule="atLeast"/>
        <w:jc w:val="both"/>
        <w:rPr>
          <w:rFonts w:ascii="Verdana" w:hAnsi="Verdana"/>
        </w:rPr>
      </w:pPr>
      <w:r>
        <w:rPr>
          <w:rFonts w:ascii="Verdana" w:hAnsi="Verdana"/>
          <w:color w:val="000000"/>
        </w:rPr>
        <w:t>***</w:t>
      </w:r>
      <w:r w:rsidRPr="00E55CA7">
        <w:rPr>
          <w:rFonts w:ascii="Verdana" w:hAnsi="Verdana"/>
          <w:color w:val="000000"/>
        </w:rPr>
        <w:t> </w:t>
      </w:r>
    </w:p>
    <w:p w14:paraId="4FA9F795" w14:textId="77777777" w:rsidR="00C62D91" w:rsidRPr="00E55CA7" w:rsidRDefault="00000000">
      <w:pPr>
        <w:pBdr>
          <w:left w:val="none" w:sz="0" w:space="10" w:color="auto"/>
        </w:pBdr>
        <w:spacing w:before="400" w:after="0" w:line="275" w:lineRule="atLeast"/>
        <w:ind w:left="200"/>
        <w:rPr>
          <w:rFonts w:ascii="Verdana" w:hAnsi="Verdana"/>
        </w:rPr>
      </w:pPr>
      <w:bookmarkStart w:id="15" w:name="co_anchor_I218b6541fea311ebb5d7f9ba62"/>
      <w:bookmarkStart w:id="16" w:name="co_anchor_I218b6541fea311ebb5d7f9ba6684"/>
      <w:r w:rsidRPr="00E55CA7">
        <w:rPr>
          <w:rFonts w:ascii="Verdana" w:hAnsi="Verdana"/>
          <w:b/>
          <w:color w:val="000000"/>
        </w:rPr>
        <w:t>3. Plaintiff's Claims for Breach of Contract and Implied Breach of Contract</w:t>
      </w:r>
    </w:p>
    <w:bookmarkEnd w:id="15"/>
    <w:bookmarkEnd w:id="16"/>
    <w:p w14:paraId="468BDEDA" w14:textId="30CF19D0" w:rsidR="00C62D91" w:rsidRPr="00E55CA7" w:rsidRDefault="00000000">
      <w:pPr>
        <w:spacing w:after="0" w:line="275" w:lineRule="atLeast"/>
        <w:jc w:val="both"/>
        <w:rPr>
          <w:rFonts w:ascii="Verdana" w:hAnsi="Verdana"/>
        </w:rPr>
      </w:pPr>
      <w:r w:rsidRPr="00E55CA7">
        <w:rPr>
          <w:rFonts w:ascii="Verdana" w:hAnsi="Verdana"/>
          <w:color w:val="000000"/>
        </w:rPr>
        <w:t>Plaintiff next raises claims against GE for breach of express contract and breach of implied contract. He first alleges that he and the proposed class members “entered into express contracts with GE that included GE's promise to protect nonpublic personal information given to GE from disclosure.” (</w:t>
      </w:r>
      <w:proofErr w:type="spellStart"/>
      <w:r w:rsidRPr="00E55CA7">
        <w:rPr>
          <w:rFonts w:ascii="Verdana" w:hAnsi="Verdana"/>
          <w:color w:val="000000"/>
        </w:rPr>
        <w:t>Compl</w:t>
      </w:r>
      <w:proofErr w:type="spellEnd"/>
      <w:r w:rsidRPr="00E55CA7">
        <w:rPr>
          <w:rFonts w:ascii="Verdana" w:hAnsi="Verdana"/>
          <w:color w:val="000000"/>
        </w:rPr>
        <w:t xml:space="preserve">. ¶ 115). Plaintiff specifically cites the </w:t>
      </w:r>
      <w:proofErr w:type="gramStart"/>
      <w:r w:rsidRPr="00E55CA7">
        <w:rPr>
          <w:rFonts w:ascii="Verdana" w:hAnsi="Verdana"/>
          <w:color w:val="000000"/>
        </w:rPr>
        <w:t>aforementioned GE</w:t>
      </w:r>
      <w:proofErr w:type="gramEnd"/>
      <w:r w:rsidRPr="00E55CA7">
        <w:rPr>
          <w:rFonts w:ascii="Verdana" w:hAnsi="Verdana"/>
          <w:color w:val="000000"/>
        </w:rPr>
        <w:t xml:space="preserve"> guidance document, “The Spirit &amp; The Letter,” which sets forth GE's Code of Conduct and summarizes a range of compliance policies, including policies related to data protection. (</w:t>
      </w:r>
      <w:r w:rsidRPr="00E55CA7">
        <w:rPr>
          <w:rFonts w:ascii="Verdana" w:hAnsi="Verdana"/>
          <w:i/>
          <w:color w:val="000000"/>
        </w:rPr>
        <w:t>Id.</w:t>
      </w:r>
      <w:r w:rsidRPr="00E55CA7">
        <w:rPr>
          <w:rFonts w:ascii="Verdana" w:hAnsi="Verdana"/>
          <w:color w:val="000000"/>
        </w:rPr>
        <w:t xml:space="preserve"> at ¶ 116; </w:t>
      </w:r>
      <w:r w:rsidRPr="00E55CA7">
        <w:rPr>
          <w:rFonts w:ascii="Verdana" w:hAnsi="Verdana"/>
          <w:i/>
          <w:color w:val="000000"/>
        </w:rPr>
        <w:t>see generally</w:t>
      </w:r>
      <w:r w:rsidRPr="00E55CA7">
        <w:rPr>
          <w:rFonts w:ascii="Verdana" w:hAnsi="Verdana"/>
          <w:color w:val="000000"/>
        </w:rPr>
        <w:t xml:space="preserve"> The Spirit and the Letter). Alternatively, Plaintiff argues that in providing personal and financial information to GE as a condition of </w:t>
      </w:r>
      <w:r w:rsidRPr="00E55CA7">
        <w:rPr>
          <w:rFonts w:ascii="Verdana" w:hAnsi="Verdana"/>
          <w:color w:val="000000"/>
        </w:rPr>
        <w:lastRenderedPageBreak/>
        <w:t xml:space="preserve">employment, </w:t>
      </w:r>
      <w:proofErr w:type="gramStart"/>
      <w:r w:rsidRPr="00E55CA7">
        <w:rPr>
          <w:rFonts w:ascii="Verdana" w:hAnsi="Verdana"/>
          <w:color w:val="000000"/>
        </w:rPr>
        <w:t>Plaintiff</w:t>
      </w:r>
      <w:proofErr w:type="gramEnd"/>
      <w:r w:rsidRPr="00E55CA7">
        <w:rPr>
          <w:rFonts w:ascii="Verdana" w:hAnsi="Verdana"/>
          <w:color w:val="000000"/>
        </w:rPr>
        <w:t xml:space="preserve"> and proposed class members “entered into implied contracts with GE by which GE agreed to safeguard and protect such information, to keep such information secure and confidential, and to timely and accurately notify Plaintiffs and Class members if their data had been breached and compromised, or stolen.” (</w:t>
      </w:r>
      <w:proofErr w:type="spellStart"/>
      <w:r w:rsidRPr="00E55CA7">
        <w:rPr>
          <w:rFonts w:ascii="Verdana" w:hAnsi="Verdana"/>
          <w:color w:val="000000"/>
        </w:rPr>
        <w:t>Compl</w:t>
      </w:r>
      <w:proofErr w:type="spellEnd"/>
      <w:r w:rsidRPr="00E55CA7">
        <w:rPr>
          <w:rFonts w:ascii="Verdana" w:hAnsi="Verdana"/>
          <w:color w:val="000000"/>
        </w:rPr>
        <w:t>. ¶ 122). Defendants move to dismiss both claims, arguing that Plaintiff fails to allege the existence of an enforceable agreement or cognizable damages. (Def. Br. 16). For the reasons stated below, the Court concludes that Plaintiff has not stated a claim for breach of express contract, but has stated a viable claim for breach of implied contract.</w:t>
      </w:r>
    </w:p>
    <w:p w14:paraId="7EF13539"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0693B85B" w14:textId="77777777" w:rsidR="00C62D91" w:rsidRPr="00E55CA7" w:rsidRDefault="00000000">
      <w:pPr>
        <w:spacing w:after="0" w:line="275" w:lineRule="atLeast"/>
        <w:jc w:val="both"/>
        <w:rPr>
          <w:rFonts w:ascii="Verdana" w:hAnsi="Verdana"/>
        </w:rPr>
      </w:pPr>
      <w:r w:rsidRPr="00E55CA7">
        <w:rPr>
          <w:rFonts w:ascii="Verdana" w:hAnsi="Verdana"/>
          <w:color w:val="000000"/>
        </w:rPr>
        <w:t>“To state a claim in federal court for breach of contract under New York law, a complaint need only allege [</w:t>
      </w:r>
      <w:proofErr w:type="spellStart"/>
      <w:r w:rsidRPr="00E55CA7">
        <w:rPr>
          <w:rFonts w:ascii="Verdana" w:hAnsi="Verdana"/>
          <w:color w:val="000000"/>
        </w:rPr>
        <w:t>i</w:t>
      </w:r>
      <w:proofErr w:type="spellEnd"/>
      <w:r w:rsidRPr="00E55CA7">
        <w:rPr>
          <w:rFonts w:ascii="Verdana" w:hAnsi="Verdana"/>
          <w:color w:val="000000"/>
        </w:rPr>
        <w:t xml:space="preserve">] the existence of an agreement, [ii] adequate performance of the contract by the plaintiff, [iii] breach of contract by the defendant, and [iv] damages.” </w:t>
      </w:r>
      <w:hyperlink r:id="rId6">
        <w:proofErr w:type="spellStart"/>
        <w:r w:rsidRPr="00E55CA7">
          <w:rPr>
            <w:rFonts w:ascii="Verdana" w:hAnsi="Verdana"/>
            <w:i/>
            <w:color w:val="0E568C"/>
          </w:rPr>
          <w:t>Ricatto</w:t>
        </w:r>
        <w:proofErr w:type="spellEnd"/>
        <w:r w:rsidRPr="00E55CA7">
          <w:rPr>
            <w:rFonts w:ascii="Verdana" w:hAnsi="Verdana"/>
            <w:color w:val="0E568C"/>
          </w:rPr>
          <w:t xml:space="preserve"> v. </w:t>
        </w:r>
        <w:r w:rsidRPr="00E55CA7">
          <w:rPr>
            <w:rFonts w:ascii="Verdana" w:hAnsi="Verdana"/>
            <w:i/>
            <w:color w:val="0E568C"/>
          </w:rPr>
          <w:t>M3 Innovations Unlimited, Inc.</w:t>
        </w:r>
        <w:r w:rsidRPr="00E55CA7">
          <w:rPr>
            <w:rFonts w:ascii="Verdana" w:hAnsi="Verdana"/>
            <w:color w:val="0E568C"/>
          </w:rPr>
          <w:t>, No. 18 Civ. 8404 (KPF), 2019 WL 6681558, at *5 (S.D.N.Y. Dec. 6, 2019)</w:t>
        </w:r>
      </w:hyperlink>
      <w:r w:rsidRPr="00E55CA7">
        <w:rPr>
          <w:rFonts w:ascii="Verdana" w:hAnsi="Verdana"/>
          <w:color w:val="000000"/>
        </w:rPr>
        <w:t xml:space="preserve"> (quoting </w:t>
      </w:r>
      <w:hyperlink r:id="rId7" w:anchor="co_pp_sp_506_348">
        <w:r w:rsidRPr="00E55CA7">
          <w:rPr>
            <w:rFonts w:ascii="Verdana" w:hAnsi="Verdana"/>
            <w:i/>
            <w:color w:val="0E568C"/>
          </w:rPr>
          <w:t>Harsco Corp.</w:t>
        </w:r>
        <w:r w:rsidRPr="00E55CA7">
          <w:rPr>
            <w:rFonts w:ascii="Verdana" w:hAnsi="Verdana"/>
            <w:color w:val="0E568C"/>
          </w:rPr>
          <w:t xml:space="preserve"> v. </w:t>
        </w:r>
        <w:proofErr w:type="spellStart"/>
        <w:r w:rsidRPr="00E55CA7">
          <w:rPr>
            <w:rFonts w:ascii="Verdana" w:hAnsi="Verdana"/>
            <w:i/>
            <w:color w:val="0E568C"/>
          </w:rPr>
          <w:t>Segui</w:t>
        </w:r>
        <w:proofErr w:type="spellEnd"/>
        <w:r w:rsidRPr="00E55CA7">
          <w:rPr>
            <w:rFonts w:ascii="Verdana" w:hAnsi="Verdana"/>
            <w:color w:val="0E568C"/>
          </w:rPr>
          <w:t>, 91 F.3d 337, 348 (2d Cir. 1996)</w:t>
        </w:r>
      </w:hyperlink>
      <w:r w:rsidRPr="00E55CA7">
        <w:rPr>
          <w:rFonts w:ascii="Verdana" w:hAnsi="Verdana"/>
          <w:color w:val="000000"/>
        </w:rPr>
        <w:t xml:space="preserve">). “To create a binding contract, there must be a manifestation of mutual assent sufficiently definite to assure that the parties are truly in agreement with respect to all material terms.” </w:t>
      </w:r>
      <w:hyperlink r:id="rId8" w:anchor="co_pp_sp_7903_336">
        <w:r w:rsidRPr="00E55CA7">
          <w:rPr>
            <w:rFonts w:ascii="Verdana" w:hAnsi="Verdana"/>
            <w:i/>
            <w:color w:val="0E568C"/>
          </w:rPr>
          <w:t>Sprint Commc'ns Co. L.P.</w:t>
        </w:r>
        <w:r w:rsidRPr="00E55CA7">
          <w:rPr>
            <w:rFonts w:ascii="Verdana" w:hAnsi="Verdana"/>
            <w:color w:val="0E568C"/>
          </w:rPr>
          <w:t xml:space="preserve"> v. </w:t>
        </w:r>
        <w:r w:rsidRPr="00E55CA7">
          <w:rPr>
            <w:rFonts w:ascii="Verdana" w:hAnsi="Verdana"/>
            <w:i/>
            <w:color w:val="0E568C"/>
          </w:rPr>
          <w:t>Jasco Trading, Inc.</w:t>
        </w:r>
        <w:r w:rsidRPr="00E55CA7">
          <w:rPr>
            <w:rFonts w:ascii="Verdana" w:hAnsi="Verdana"/>
            <w:color w:val="0E568C"/>
          </w:rPr>
          <w:t>, 5 F. Supp. 3d 323, 336 (E.D.N.Y. 2014)</w:t>
        </w:r>
      </w:hyperlink>
      <w:r w:rsidRPr="00E55CA7">
        <w:rPr>
          <w:rFonts w:ascii="Verdana" w:hAnsi="Verdana"/>
          <w:color w:val="000000"/>
        </w:rPr>
        <w:t xml:space="preserve"> (quoting </w:t>
      </w:r>
      <w:hyperlink r:id="rId9" w:anchor="co_pp_sp_506_95">
        <w:proofErr w:type="spellStart"/>
        <w:r w:rsidRPr="00E55CA7">
          <w:rPr>
            <w:rFonts w:ascii="Verdana" w:hAnsi="Verdana"/>
            <w:i/>
            <w:color w:val="0E568C"/>
          </w:rPr>
          <w:t>Tractebel</w:t>
        </w:r>
        <w:proofErr w:type="spellEnd"/>
        <w:r w:rsidRPr="00E55CA7">
          <w:rPr>
            <w:rFonts w:ascii="Verdana" w:hAnsi="Verdana"/>
            <w:i/>
            <w:color w:val="0E568C"/>
          </w:rPr>
          <w:t xml:space="preserve"> Energy Mktg., Inc.</w:t>
        </w:r>
        <w:r w:rsidRPr="00E55CA7">
          <w:rPr>
            <w:rFonts w:ascii="Verdana" w:hAnsi="Verdana"/>
            <w:color w:val="0E568C"/>
          </w:rPr>
          <w:t xml:space="preserve"> v. </w:t>
        </w:r>
        <w:r w:rsidRPr="00E55CA7">
          <w:rPr>
            <w:rFonts w:ascii="Verdana" w:hAnsi="Verdana"/>
            <w:i/>
            <w:color w:val="0E568C"/>
          </w:rPr>
          <w:t>AEP Power Mktg., Inc.</w:t>
        </w:r>
        <w:r w:rsidRPr="00E55CA7">
          <w:rPr>
            <w:rFonts w:ascii="Verdana" w:hAnsi="Verdana"/>
            <w:color w:val="0E568C"/>
          </w:rPr>
          <w:t>, 487 F.3d 89, 95 (2d Cir. 2007)</w:t>
        </w:r>
      </w:hyperlink>
      <w:r w:rsidRPr="00E55CA7">
        <w:rPr>
          <w:rFonts w:ascii="Verdana" w:hAnsi="Verdana"/>
          <w:color w:val="000000"/>
        </w:rPr>
        <w:t xml:space="preserve">). “Generally, a party alleging a breach of contract must demonstrate the existence of a contract reflecting the terms and conditions of their purported agreement.” </w:t>
      </w:r>
      <w:hyperlink r:id="rId10" w:anchor="co_pp_sp_7980_462">
        <w:r w:rsidRPr="00E55CA7">
          <w:rPr>
            <w:rFonts w:ascii="Verdana" w:hAnsi="Verdana"/>
            <w:i/>
            <w:color w:val="0E568C"/>
          </w:rPr>
          <w:t>Reznick</w:t>
        </w:r>
        <w:r w:rsidRPr="00E55CA7">
          <w:rPr>
            <w:rFonts w:ascii="Verdana" w:hAnsi="Verdana"/>
            <w:color w:val="0E568C"/>
          </w:rPr>
          <w:t xml:space="preserve"> v. </w:t>
        </w:r>
        <w:r w:rsidRPr="00E55CA7">
          <w:rPr>
            <w:rFonts w:ascii="Verdana" w:hAnsi="Verdana"/>
            <w:i/>
            <w:color w:val="0E568C"/>
          </w:rPr>
          <w:t>Bluegreen Resorts Mgmt., Inc.</w:t>
        </w:r>
        <w:r w:rsidRPr="00E55CA7">
          <w:rPr>
            <w:rFonts w:ascii="Verdana" w:hAnsi="Verdana"/>
            <w:color w:val="0E568C"/>
          </w:rPr>
          <w:t xml:space="preserve">, 62 N.Y.S.3d 460, 462 (2d </w:t>
        </w:r>
        <w:proofErr w:type="spellStart"/>
        <w:r w:rsidRPr="00E55CA7">
          <w:rPr>
            <w:rFonts w:ascii="Verdana" w:hAnsi="Verdana"/>
            <w:color w:val="0E568C"/>
          </w:rPr>
          <w:t>Dep't</w:t>
        </w:r>
        <w:proofErr w:type="spellEnd"/>
        <w:r w:rsidRPr="00E55CA7">
          <w:rPr>
            <w:rFonts w:ascii="Verdana" w:hAnsi="Verdana"/>
            <w:color w:val="0E568C"/>
          </w:rPr>
          <w:t xml:space="preserve"> 2017)</w:t>
        </w:r>
      </w:hyperlink>
      <w:r w:rsidRPr="00E55CA7">
        <w:rPr>
          <w:rFonts w:ascii="Verdana" w:hAnsi="Verdana"/>
          <w:color w:val="000000"/>
        </w:rPr>
        <w:t xml:space="preserve"> (internal quotation marks and alterations omitted) (quoting </w:t>
      </w:r>
      <w:hyperlink r:id="rId11" w:anchor="co_pp_sp_7048_181">
        <w:r w:rsidRPr="00E55CA7">
          <w:rPr>
            <w:rFonts w:ascii="Verdana" w:hAnsi="Verdana"/>
            <w:i/>
            <w:color w:val="0E568C"/>
          </w:rPr>
          <w:t>Mandarin Trading Ltd.</w:t>
        </w:r>
        <w:r w:rsidRPr="00E55CA7">
          <w:rPr>
            <w:rFonts w:ascii="Verdana" w:hAnsi="Verdana"/>
            <w:color w:val="0E568C"/>
          </w:rPr>
          <w:t xml:space="preserve"> v. </w:t>
        </w:r>
        <w:r w:rsidRPr="00E55CA7">
          <w:rPr>
            <w:rFonts w:ascii="Verdana" w:hAnsi="Verdana"/>
            <w:i/>
            <w:color w:val="0E568C"/>
          </w:rPr>
          <w:t>Wildenstein</w:t>
        </w:r>
        <w:r w:rsidRPr="00E55CA7">
          <w:rPr>
            <w:rFonts w:ascii="Verdana" w:hAnsi="Verdana"/>
            <w:color w:val="0E568C"/>
          </w:rPr>
          <w:t>, 16 N.Y.3d 173, 181-82 (2011)</w:t>
        </w:r>
      </w:hyperlink>
      <w:r w:rsidRPr="00E55CA7">
        <w:rPr>
          <w:rFonts w:ascii="Verdana" w:hAnsi="Verdana"/>
          <w:color w:val="000000"/>
        </w:rPr>
        <w:t xml:space="preserve">). However, “[a] contract implied in fact may result as an inference from the facts and circumstances of the case, although not formally stated in words, and is derived from the ‘presumed’ intention of the parties as indicated by their conduct.” </w:t>
      </w:r>
      <w:hyperlink r:id="rId12" w:anchor="co_pp_sp_506_506">
        <w:r w:rsidRPr="00E55CA7">
          <w:rPr>
            <w:rFonts w:ascii="Verdana" w:hAnsi="Verdana"/>
            <w:i/>
            <w:color w:val="0E568C"/>
          </w:rPr>
          <w:t>Leibowitz</w:t>
        </w:r>
        <w:r w:rsidRPr="00E55CA7">
          <w:rPr>
            <w:rFonts w:ascii="Verdana" w:hAnsi="Verdana"/>
            <w:color w:val="0E568C"/>
          </w:rPr>
          <w:t xml:space="preserve"> v. </w:t>
        </w:r>
        <w:r w:rsidRPr="00E55CA7">
          <w:rPr>
            <w:rFonts w:ascii="Verdana" w:hAnsi="Verdana"/>
            <w:i/>
            <w:color w:val="0E568C"/>
          </w:rPr>
          <w:t>Cornell Univ.</w:t>
        </w:r>
        <w:r w:rsidRPr="00E55CA7">
          <w:rPr>
            <w:rFonts w:ascii="Verdana" w:hAnsi="Verdana"/>
            <w:color w:val="0E568C"/>
          </w:rPr>
          <w:t>, 584 F.3d 487, 506-07 (2d Cir. 2009)</w:t>
        </w:r>
      </w:hyperlink>
      <w:r w:rsidRPr="00E55CA7">
        <w:rPr>
          <w:rFonts w:ascii="Verdana" w:hAnsi="Verdana"/>
          <w:color w:val="000000"/>
        </w:rPr>
        <w:t xml:space="preserve"> (quoting </w:t>
      </w:r>
      <w:hyperlink r:id="rId13" w:anchor="co_pp_sp_605_503">
        <w:proofErr w:type="spellStart"/>
        <w:r w:rsidRPr="00E55CA7">
          <w:rPr>
            <w:rFonts w:ascii="Verdana" w:hAnsi="Verdana"/>
            <w:i/>
            <w:color w:val="0E568C"/>
          </w:rPr>
          <w:t>Jemzura</w:t>
        </w:r>
        <w:proofErr w:type="spellEnd"/>
        <w:r w:rsidRPr="00E55CA7">
          <w:rPr>
            <w:rFonts w:ascii="Verdana" w:hAnsi="Verdana"/>
            <w:color w:val="0E568C"/>
          </w:rPr>
          <w:t xml:space="preserve"> v. </w:t>
        </w:r>
        <w:proofErr w:type="spellStart"/>
        <w:r w:rsidRPr="00E55CA7">
          <w:rPr>
            <w:rFonts w:ascii="Verdana" w:hAnsi="Verdana"/>
            <w:i/>
            <w:color w:val="0E568C"/>
          </w:rPr>
          <w:t>Jemzura</w:t>
        </w:r>
        <w:proofErr w:type="spellEnd"/>
        <w:r w:rsidRPr="00E55CA7">
          <w:rPr>
            <w:rFonts w:ascii="Verdana" w:hAnsi="Verdana"/>
            <w:color w:val="0E568C"/>
          </w:rPr>
          <w:t>, 36 N.Y.2d 496, 503-04 (1975)</w:t>
        </w:r>
      </w:hyperlink>
      <w:r w:rsidRPr="00E55CA7">
        <w:rPr>
          <w:rFonts w:ascii="Verdana" w:hAnsi="Verdana"/>
          <w:color w:val="000000"/>
        </w:rPr>
        <w:t xml:space="preserve">), </w:t>
      </w:r>
      <w:r w:rsidRPr="00E55CA7">
        <w:rPr>
          <w:rFonts w:ascii="Verdana" w:hAnsi="Verdana"/>
          <w:i/>
          <w:color w:val="000000"/>
        </w:rPr>
        <w:t>superseded by statute on other grounds</w:t>
      </w:r>
      <w:r w:rsidRPr="00E55CA7">
        <w:rPr>
          <w:rFonts w:ascii="Verdana" w:hAnsi="Verdana"/>
          <w:color w:val="000000"/>
        </w:rPr>
        <w:t>.</w:t>
      </w:r>
    </w:p>
    <w:p w14:paraId="6C143D38"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5F7D7618" w14:textId="77777777" w:rsidR="00C62D91" w:rsidRPr="00E55CA7" w:rsidRDefault="00000000">
      <w:pPr>
        <w:spacing w:after="0" w:line="275" w:lineRule="atLeast"/>
        <w:jc w:val="both"/>
        <w:rPr>
          <w:rFonts w:ascii="Verdana" w:hAnsi="Verdana"/>
        </w:rPr>
      </w:pPr>
      <w:r w:rsidRPr="00E55CA7">
        <w:rPr>
          <w:rFonts w:ascii="Verdana" w:hAnsi="Verdana"/>
          <w:color w:val="000000"/>
        </w:rPr>
        <w:t>Defendants argue that GE's policy documents should not be construed as valid contracts because Plaintiff does not allege “that these documents contained terms that GE offered to Plaintiff, that he accepted, that consideration was exchanged, and that there was mutual assent and intent to be bound by an agreement to safeguard Plaintiff's information against third party hackers.” (Def. Br. 17-18). The Court is mindful that “[r]</w:t>
      </w:r>
      <w:proofErr w:type="spellStart"/>
      <w:r w:rsidRPr="00E55CA7">
        <w:rPr>
          <w:rFonts w:ascii="Verdana" w:hAnsi="Verdana"/>
          <w:color w:val="000000"/>
        </w:rPr>
        <w:t>outinely</w:t>
      </w:r>
      <w:proofErr w:type="spellEnd"/>
      <w:r w:rsidRPr="00E55CA7">
        <w:rPr>
          <w:rFonts w:ascii="Verdana" w:hAnsi="Verdana"/>
          <w:color w:val="000000"/>
        </w:rPr>
        <w:t xml:space="preserve"> issued employee manuals, handbooks and policy statements should not lightly be converted into binding employment agreements,” </w:t>
      </w:r>
      <w:hyperlink r:id="rId14" w:anchor="co_pp_sp_605_317">
        <w:proofErr w:type="spellStart"/>
        <w:r w:rsidRPr="00E55CA7">
          <w:rPr>
            <w:rFonts w:ascii="Verdana" w:hAnsi="Verdana"/>
            <w:i/>
            <w:color w:val="0E568C"/>
          </w:rPr>
          <w:t>Lobosco</w:t>
        </w:r>
        <w:proofErr w:type="spellEnd"/>
        <w:r w:rsidRPr="00E55CA7">
          <w:rPr>
            <w:rFonts w:ascii="Verdana" w:hAnsi="Verdana"/>
            <w:color w:val="0E568C"/>
          </w:rPr>
          <w:t xml:space="preserve"> v. </w:t>
        </w:r>
        <w:r w:rsidRPr="00E55CA7">
          <w:rPr>
            <w:rFonts w:ascii="Verdana" w:hAnsi="Verdana"/>
            <w:i/>
            <w:color w:val="0E568C"/>
          </w:rPr>
          <w:t>N.Y. Tel. Co./NYNEX</w:t>
        </w:r>
        <w:r w:rsidRPr="00E55CA7">
          <w:rPr>
            <w:rFonts w:ascii="Verdana" w:hAnsi="Verdana"/>
            <w:color w:val="0E568C"/>
          </w:rPr>
          <w:t>, 96 N.Y.2d 312, 317 (2001)</w:t>
        </w:r>
      </w:hyperlink>
      <w:r w:rsidRPr="00E55CA7">
        <w:rPr>
          <w:rFonts w:ascii="Verdana" w:hAnsi="Verdana"/>
          <w:color w:val="000000"/>
        </w:rPr>
        <w:t xml:space="preserve">; </w:t>
      </w:r>
      <w:r w:rsidRPr="00E55CA7">
        <w:rPr>
          <w:rFonts w:ascii="Verdana" w:hAnsi="Verdana"/>
          <w:i/>
          <w:color w:val="000000"/>
        </w:rPr>
        <w:t xml:space="preserve">accord </w:t>
      </w:r>
      <w:hyperlink r:id="rId15" w:anchor="co_pp_sp_4637_247">
        <w:proofErr w:type="spellStart"/>
        <w:r w:rsidRPr="00E55CA7">
          <w:rPr>
            <w:rFonts w:ascii="Verdana" w:hAnsi="Verdana"/>
            <w:i/>
            <w:color w:val="0E568C"/>
          </w:rPr>
          <w:t>Azzolini</w:t>
        </w:r>
        <w:proofErr w:type="spellEnd"/>
        <w:r w:rsidRPr="00E55CA7">
          <w:rPr>
            <w:rFonts w:ascii="Verdana" w:hAnsi="Verdana"/>
            <w:color w:val="0E568C"/>
          </w:rPr>
          <w:t xml:space="preserve"> v. </w:t>
        </w:r>
        <w:r w:rsidRPr="00E55CA7">
          <w:rPr>
            <w:rFonts w:ascii="Verdana" w:hAnsi="Verdana"/>
            <w:i/>
            <w:color w:val="0E568C"/>
          </w:rPr>
          <w:t>Marriott Int'l, Inc.</w:t>
        </w:r>
        <w:r w:rsidRPr="00E55CA7">
          <w:rPr>
            <w:rFonts w:ascii="Verdana" w:hAnsi="Verdana"/>
            <w:color w:val="0E568C"/>
          </w:rPr>
          <w:t>, 417 F. Supp. 2d 243, 247-48 (S.D.N.Y. 2005)</w:t>
        </w:r>
      </w:hyperlink>
      <w:r w:rsidRPr="00E55CA7">
        <w:rPr>
          <w:rFonts w:ascii="Verdana" w:hAnsi="Verdana"/>
          <w:color w:val="000000"/>
        </w:rPr>
        <w:t>, and agrees with Defendants that the documents Plaintiff references are not written with the standard trappings of express contracts, and are thus insufficient to sustain a claim for breach of express contract. Nevertheless, the Court finds that GE's policy documents create implied contracts.</w:t>
      </w:r>
    </w:p>
    <w:p w14:paraId="6B284E28"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044B53C3" w14:textId="77777777" w:rsidR="00C62D91" w:rsidRPr="00E55CA7" w:rsidRDefault="00000000">
      <w:pPr>
        <w:spacing w:after="0" w:line="275" w:lineRule="atLeast"/>
        <w:jc w:val="both"/>
        <w:rPr>
          <w:rFonts w:ascii="Verdana" w:hAnsi="Verdana"/>
        </w:rPr>
      </w:pPr>
      <w:r w:rsidRPr="00E55CA7">
        <w:rPr>
          <w:rFonts w:ascii="Verdana" w:hAnsi="Verdana"/>
          <w:color w:val="000000"/>
        </w:rPr>
        <w:t xml:space="preserve">“The Spirit &amp; The Letter” states, </w:t>
      </w:r>
      <w:r w:rsidRPr="00E55CA7">
        <w:rPr>
          <w:rFonts w:ascii="Verdana" w:hAnsi="Verdana"/>
          <w:i/>
          <w:color w:val="000000"/>
        </w:rPr>
        <w:t>inter alia</w:t>
      </w:r>
      <w:r w:rsidRPr="00E55CA7">
        <w:rPr>
          <w:rFonts w:ascii="Verdana" w:hAnsi="Verdana"/>
          <w:color w:val="000000"/>
        </w:rPr>
        <w:t>: (</w:t>
      </w:r>
      <w:proofErr w:type="spellStart"/>
      <w:r w:rsidRPr="00E55CA7">
        <w:rPr>
          <w:rFonts w:ascii="Verdana" w:hAnsi="Verdana"/>
          <w:color w:val="000000"/>
        </w:rPr>
        <w:t>i</w:t>
      </w:r>
      <w:proofErr w:type="spellEnd"/>
      <w:r w:rsidRPr="00E55CA7">
        <w:rPr>
          <w:rFonts w:ascii="Verdana" w:hAnsi="Verdana"/>
          <w:color w:val="000000"/>
        </w:rPr>
        <w:t>) that it “</w:t>
      </w:r>
      <w:r w:rsidRPr="00E55CA7">
        <w:rPr>
          <w:rFonts w:ascii="Verdana" w:hAnsi="Verdana"/>
          <w:i/>
          <w:color w:val="000000"/>
        </w:rPr>
        <w:t>must</w:t>
      </w:r>
      <w:r w:rsidRPr="00E55CA7">
        <w:rPr>
          <w:rFonts w:ascii="Verdana" w:hAnsi="Verdana"/>
          <w:color w:val="000000"/>
        </w:rPr>
        <w:t xml:space="preserve"> be followed by anyone who works for or represents GE” (The Spirit &amp; The Letter at 2 (emphasis added)); (ii) that “GE employees working with third parties ... </w:t>
      </w:r>
      <w:r w:rsidRPr="00E55CA7">
        <w:rPr>
          <w:rFonts w:ascii="Verdana" w:hAnsi="Verdana"/>
          <w:i/>
          <w:color w:val="000000"/>
        </w:rPr>
        <w:t>must</w:t>
      </w:r>
      <w:r w:rsidRPr="00E55CA7">
        <w:rPr>
          <w:rFonts w:ascii="Verdana" w:hAnsi="Verdana"/>
          <w:color w:val="000000"/>
        </w:rPr>
        <w:t>: [r]</w:t>
      </w:r>
      <w:proofErr w:type="spellStart"/>
      <w:r w:rsidRPr="00E55CA7">
        <w:rPr>
          <w:rFonts w:ascii="Verdana" w:hAnsi="Verdana"/>
          <w:color w:val="000000"/>
        </w:rPr>
        <w:t>equire</w:t>
      </w:r>
      <w:proofErr w:type="spellEnd"/>
      <w:r w:rsidRPr="00E55CA7">
        <w:rPr>
          <w:rFonts w:ascii="Verdana" w:hAnsi="Verdana"/>
          <w:color w:val="000000"/>
        </w:rPr>
        <w:t xml:space="preserve"> these parties to agree to comply </w:t>
      </w:r>
      <w:r w:rsidRPr="00E55CA7">
        <w:rPr>
          <w:rFonts w:ascii="Verdana" w:hAnsi="Verdana"/>
          <w:color w:val="000000"/>
        </w:rPr>
        <w:lastRenderedPageBreak/>
        <w:t>with relevant aspects of GE's compliance policies ... [and] [t]</w:t>
      </w:r>
      <w:proofErr w:type="spellStart"/>
      <w:r w:rsidRPr="00E55CA7">
        <w:rPr>
          <w:rFonts w:ascii="Verdana" w:hAnsi="Verdana"/>
          <w:color w:val="000000"/>
        </w:rPr>
        <w:t>ake</w:t>
      </w:r>
      <w:proofErr w:type="spellEnd"/>
      <w:r w:rsidRPr="00E55CA7">
        <w:rPr>
          <w:rFonts w:ascii="Verdana" w:hAnsi="Verdana"/>
          <w:color w:val="000000"/>
        </w:rPr>
        <w:t xml:space="preserve"> action, up to and including terminating a contract, after learning that a third party failed to abide by GE's compliance policies” (</w:t>
      </w:r>
      <w:r w:rsidRPr="00E55CA7">
        <w:rPr>
          <w:rFonts w:ascii="Verdana" w:hAnsi="Verdana"/>
          <w:i/>
          <w:color w:val="000000"/>
        </w:rPr>
        <w:t>id.</w:t>
      </w:r>
      <w:r w:rsidRPr="00E55CA7">
        <w:rPr>
          <w:rFonts w:ascii="Verdana" w:hAnsi="Verdana"/>
          <w:color w:val="000000"/>
        </w:rPr>
        <w:t xml:space="preserve"> (</w:t>
      </w:r>
      <w:proofErr w:type="gramStart"/>
      <w:r w:rsidRPr="00E55CA7">
        <w:rPr>
          <w:rFonts w:ascii="Verdana" w:hAnsi="Verdana"/>
          <w:color w:val="000000"/>
        </w:rPr>
        <w:t>emphasis</w:t>
      </w:r>
      <w:proofErr w:type="gramEnd"/>
      <w:r w:rsidRPr="00E55CA7">
        <w:rPr>
          <w:rFonts w:ascii="Verdana" w:hAnsi="Verdana"/>
          <w:color w:val="000000"/>
        </w:rPr>
        <w:t xml:space="preserve"> added)); (iii) that “GE is committed to collecting, handling and protecting Personal Information responsibly, and in compliance with applicable privacy and information security laws and GE's Commitment to the Protection of Personal Information (GE's Binding Corporate Rules), where applicable” (</w:t>
      </w:r>
      <w:r w:rsidRPr="00E55CA7">
        <w:rPr>
          <w:rFonts w:ascii="Verdana" w:hAnsi="Verdana"/>
          <w:i/>
          <w:color w:val="000000"/>
        </w:rPr>
        <w:t>id.</w:t>
      </w:r>
      <w:r w:rsidRPr="00E55CA7">
        <w:rPr>
          <w:rFonts w:ascii="Verdana" w:hAnsi="Verdana"/>
          <w:color w:val="000000"/>
        </w:rPr>
        <w:t xml:space="preserve"> at 17); and (iv) that “GE seeks to protect its networks, systems, devices and information in our possession” and “to maintain appropriate access controls” (</w:t>
      </w:r>
      <w:r w:rsidRPr="00E55CA7">
        <w:rPr>
          <w:rFonts w:ascii="Verdana" w:hAnsi="Verdana"/>
          <w:i/>
          <w:color w:val="000000"/>
        </w:rPr>
        <w:t>id.</w:t>
      </w:r>
      <w:r w:rsidRPr="00E55CA7">
        <w:rPr>
          <w:rFonts w:ascii="Verdana" w:hAnsi="Verdana"/>
          <w:color w:val="000000"/>
        </w:rPr>
        <w:t>). (</w:t>
      </w:r>
      <w:r w:rsidRPr="00E55CA7">
        <w:rPr>
          <w:rFonts w:ascii="Verdana" w:hAnsi="Verdana"/>
          <w:i/>
          <w:color w:val="000000"/>
        </w:rPr>
        <w:t>But</w:t>
      </w:r>
      <w:r w:rsidRPr="00E55CA7">
        <w:rPr>
          <w:rFonts w:ascii="Verdana" w:hAnsi="Verdana"/>
          <w:color w:val="000000"/>
        </w:rPr>
        <w:t xml:space="preserve"> see </w:t>
      </w:r>
      <w:r w:rsidRPr="00E55CA7">
        <w:rPr>
          <w:rFonts w:ascii="Verdana" w:hAnsi="Verdana"/>
          <w:i/>
          <w:color w:val="000000"/>
        </w:rPr>
        <w:t>id.</w:t>
      </w:r>
      <w:r w:rsidRPr="00E55CA7">
        <w:rPr>
          <w:rFonts w:ascii="Verdana" w:hAnsi="Verdana"/>
          <w:color w:val="000000"/>
        </w:rPr>
        <w:t xml:space="preserve"> at 21 (stating that the guidance set forth therein “is not a substitute for [employees’] good judgment, and ... cannot cover every conceivable situation”)). Additionally, as Plaintiff discusses in detail in the Complaint, GE further expresses its commitment to protecting its employees’ sensitive data — and explains the principles to which it adheres and the measures it takes to fulfill that commitment — in its Employee Data Protection Standards and Commitment to the Protection of Personal Information documents. (</w:t>
      </w:r>
      <w:proofErr w:type="spellStart"/>
      <w:r w:rsidRPr="00E55CA7">
        <w:rPr>
          <w:rFonts w:ascii="Verdana" w:hAnsi="Verdana"/>
          <w:color w:val="000000"/>
        </w:rPr>
        <w:t>Compl</w:t>
      </w:r>
      <w:proofErr w:type="spellEnd"/>
      <w:r w:rsidRPr="00E55CA7">
        <w:rPr>
          <w:rFonts w:ascii="Verdana" w:hAnsi="Verdana"/>
          <w:color w:val="000000"/>
        </w:rPr>
        <w:t>. ¶¶ 30-31, 34-37).</w:t>
      </w:r>
    </w:p>
    <w:p w14:paraId="58D923CC"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1D3F3FA6" w14:textId="74EEB2AB" w:rsidR="00C62D91" w:rsidRPr="00E55CA7" w:rsidRDefault="00000000">
      <w:pPr>
        <w:spacing w:after="0" w:line="275" w:lineRule="atLeast"/>
        <w:jc w:val="both"/>
        <w:rPr>
          <w:rFonts w:ascii="Verdana" w:hAnsi="Verdana"/>
        </w:rPr>
      </w:pPr>
      <w:r w:rsidRPr="00E55CA7">
        <w:rPr>
          <w:rFonts w:ascii="Verdana" w:hAnsi="Verdana"/>
          <w:color w:val="000000"/>
        </w:rPr>
        <w:t>Plaintiff alleges that “[b]</w:t>
      </w:r>
      <w:proofErr w:type="spellStart"/>
      <w:r w:rsidRPr="00E55CA7">
        <w:rPr>
          <w:rFonts w:ascii="Verdana" w:hAnsi="Verdana"/>
          <w:color w:val="000000"/>
        </w:rPr>
        <w:t>ased</w:t>
      </w:r>
      <w:proofErr w:type="spellEnd"/>
      <w:r w:rsidRPr="00E55CA7">
        <w:rPr>
          <w:rFonts w:ascii="Verdana" w:hAnsi="Verdana"/>
          <w:color w:val="000000"/>
        </w:rPr>
        <w:t xml:space="preserve"> on these representations, GE's current and former employees reasonably believed that GE, and any third parties GE contracted with, would protect their Personal Financial Information [“PFI”], including the PFI of their beneficiaries.” (</w:t>
      </w:r>
      <w:proofErr w:type="spellStart"/>
      <w:r w:rsidRPr="00E55CA7">
        <w:rPr>
          <w:rFonts w:ascii="Verdana" w:hAnsi="Verdana"/>
          <w:color w:val="000000"/>
        </w:rPr>
        <w:t>Compl</w:t>
      </w:r>
      <w:proofErr w:type="spellEnd"/>
      <w:r w:rsidRPr="00E55CA7">
        <w:rPr>
          <w:rFonts w:ascii="Verdana" w:hAnsi="Verdana"/>
          <w:color w:val="000000"/>
        </w:rPr>
        <w:t xml:space="preserve">. ¶ 38). These allegations are sufficient at this stage to establish the existence of an implied contract. </w:t>
      </w:r>
      <w:r w:rsidRPr="00E55CA7">
        <w:rPr>
          <w:rFonts w:ascii="Verdana" w:hAnsi="Verdana"/>
          <w:i/>
          <w:color w:val="000000"/>
        </w:rPr>
        <w:t>See</w:t>
      </w:r>
      <w:r w:rsidRPr="00E55CA7">
        <w:rPr>
          <w:rFonts w:ascii="Verdana" w:hAnsi="Verdana"/>
          <w:color w:val="000000"/>
        </w:rPr>
        <w:t xml:space="preserve"> </w:t>
      </w:r>
      <w:hyperlink r:id="rId16" w:anchor="co_pp_sp_7903_750">
        <w:proofErr w:type="spellStart"/>
        <w:r w:rsidRPr="00E55CA7">
          <w:rPr>
            <w:rFonts w:ascii="Verdana" w:hAnsi="Verdana"/>
            <w:i/>
            <w:color w:val="0E568C"/>
          </w:rPr>
          <w:t>Sackin</w:t>
        </w:r>
        <w:proofErr w:type="spellEnd"/>
        <w:r w:rsidRPr="00E55CA7">
          <w:rPr>
            <w:rFonts w:ascii="Verdana" w:hAnsi="Verdana"/>
            <w:color w:val="0E568C"/>
          </w:rPr>
          <w:t>, 278 F. Supp. 3d at 750-51</w:t>
        </w:r>
      </w:hyperlink>
      <w:r w:rsidRPr="00E55CA7">
        <w:rPr>
          <w:rFonts w:ascii="Verdana" w:hAnsi="Verdana"/>
          <w:color w:val="000000"/>
        </w:rPr>
        <w:t xml:space="preserve"> (finding an implied contract where the defendant “required and obtained [employees’] PII as part of the employment relationship, evincing an implicit promise ... to act reasonably to keep its employees’ PII safe,” and the defendant's privacy policies and security practices manual stated that the company maintained robust data security procedures); </w:t>
      </w:r>
      <w:hyperlink r:id="rId17" w:anchor="co_pp_sp_7903_675">
        <w:proofErr w:type="spellStart"/>
        <w:r w:rsidRPr="00E55CA7">
          <w:rPr>
            <w:rFonts w:ascii="Verdana" w:hAnsi="Verdana"/>
            <w:i/>
            <w:color w:val="0E568C"/>
          </w:rPr>
          <w:t>Enslin</w:t>
        </w:r>
        <w:proofErr w:type="spellEnd"/>
        <w:r w:rsidRPr="00E55CA7">
          <w:rPr>
            <w:rFonts w:ascii="Verdana" w:hAnsi="Verdana"/>
            <w:color w:val="0E568C"/>
          </w:rPr>
          <w:t xml:space="preserve"> v. </w:t>
        </w:r>
        <w:r w:rsidRPr="00E55CA7">
          <w:rPr>
            <w:rFonts w:ascii="Verdana" w:hAnsi="Verdana"/>
            <w:i/>
            <w:color w:val="0E568C"/>
          </w:rPr>
          <w:t>The Coca-Cola Co.</w:t>
        </w:r>
        <w:r w:rsidRPr="00E55CA7">
          <w:rPr>
            <w:rFonts w:ascii="Verdana" w:hAnsi="Verdana"/>
            <w:color w:val="0E568C"/>
          </w:rPr>
          <w:t>, 136 F. Supp. 3d 654, 675 (E.D. Pa. 2015)</w:t>
        </w:r>
      </w:hyperlink>
      <w:r w:rsidRPr="00E55CA7">
        <w:rPr>
          <w:rFonts w:ascii="Verdana" w:hAnsi="Verdana"/>
          <w:color w:val="000000"/>
        </w:rPr>
        <w:t xml:space="preserve"> (denying a motion to dismiss breach of contract claims where “[d]</w:t>
      </w:r>
      <w:proofErr w:type="spellStart"/>
      <w:r w:rsidRPr="00E55CA7">
        <w:rPr>
          <w:rFonts w:ascii="Verdana" w:hAnsi="Verdana"/>
          <w:color w:val="000000"/>
        </w:rPr>
        <w:t>efendants</w:t>
      </w:r>
      <w:proofErr w:type="spellEnd"/>
      <w:r w:rsidRPr="00E55CA7">
        <w:rPr>
          <w:rFonts w:ascii="Verdana" w:hAnsi="Verdana"/>
          <w:color w:val="000000"/>
        </w:rPr>
        <w:t xml:space="preserve">, through privacy policies, codes of conduct, company security practices, and other conduct, implicitly promised to safeguard [Plaintiff's] PII in exchange for his employment”); </w:t>
      </w:r>
      <w:r w:rsidRPr="00E55CA7">
        <w:rPr>
          <w:rFonts w:ascii="Verdana" w:hAnsi="Verdana"/>
          <w:i/>
          <w:color w:val="000000"/>
        </w:rPr>
        <w:t xml:space="preserve">cf. </w:t>
      </w:r>
      <w:hyperlink r:id="rId18">
        <w:r w:rsidRPr="00E55CA7">
          <w:rPr>
            <w:rFonts w:ascii="Verdana" w:hAnsi="Verdana"/>
            <w:i/>
            <w:color w:val="0E568C"/>
          </w:rPr>
          <w:t>Castillo</w:t>
        </w:r>
        <w:r w:rsidRPr="00E55CA7">
          <w:rPr>
            <w:rFonts w:ascii="Verdana" w:hAnsi="Verdana"/>
            <w:color w:val="0E568C"/>
          </w:rPr>
          <w:t xml:space="preserve"> v. </w:t>
        </w:r>
        <w:r w:rsidRPr="00E55CA7">
          <w:rPr>
            <w:rFonts w:ascii="Verdana" w:hAnsi="Verdana"/>
            <w:i/>
            <w:color w:val="0E568C"/>
          </w:rPr>
          <w:t>Seagate Tech., LLC</w:t>
        </w:r>
        <w:r w:rsidRPr="00E55CA7">
          <w:rPr>
            <w:rFonts w:ascii="Verdana" w:hAnsi="Verdana"/>
            <w:color w:val="0E568C"/>
          </w:rPr>
          <w:t>, No. 16 Civ. 1958 (RS), 2016 WL 9280242, at *9 (N.D. Cal. Sept. 14, 2016)</w:t>
        </w:r>
      </w:hyperlink>
      <w:r w:rsidRPr="00E55CA7">
        <w:rPr>
          <w:rFonts w:ascii="Verdana" w:hAnsi="Verdana"/>
          <w:color w:val="000000"/>
        </w:rPr>
        <w:t xml:space="preserve"> (“[I]t is difficult to imagine how, in our day and age of data and identity theft, the mandatory receipt of Social Security numbers or other sensitive personal information would not imply the recipient's assent to protect the information sufficiently.”).</w:t>
      </w:r>
    </w:p>
    <w:p w14:paraId="1E79846B"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36D9D0CB" w14:textId="77777777" w:rsidR="00C62D91" w:rsidRPr="00E55CA7" w:rsidRDefault="00000000">
      <w:pPr>
        <w:spacing w:after="0" w:line="275" w:lineRule="atLeast"/>
        <w:jc w:val="both"/>
        <w:rPr>
          <w:rFonts w:ascii="Verdana" w:hAnsi="Verdana"/>
        </w:rPr>
      </w:pPr>
      <w:r w:rsidRPr="00E55CA7">
        <w:rPr>
          <w:rFonts w:ascii="Verdana" w:hAnsi="Verdana"/>
          <w:color w:val="000000"/>
        </w:rPr>
        <w:t xml:space="preserve">The Court additionally finds that Plaintiff has adequately alleged the remaining elements of his breach of implied contract claim, </w:t>
      </w:r>
      <w:r w:rsidRPr="00E55CA7">
        <w:rPr>
          <w:rFonts w:ascii="Verdana" w:hAnsi="Verdana"/>
          <w:i/>
          <w:color w:val="000000"/>
        </w:rPr>
        <w:t>i.e.</w:t>
      </w:r>
      <w:r w:rsidRPr="00E55CA7">
        <w:rPr>
          <w:rFonts w:ascii="Verdana" w:hAnsi="Verdana"/>
          <w:color w:val="000000"/>
        </w:rPr>
        <w:t xml:space="preserve">, adequate performance of the contract by Plaintiff, breach of contract by GE, and damages. </w:t>
      </w:r>
      <w:r w:rsidRPr="00E55CA7">
        <w:rPr>
          <w:rFonts w:ascii="Verdana" w:hAnsi="Verdana"/>
          <w:i/>
          <w:color w:val="000000"/>
        </w:rPr>
        <w:t>First</w:t>
      </w:r>
      <w:r w:rsidRPr="00E55CA7">
        <w:rPr>
          <w:rFonts w:ascii="Verdana" w:hAnsi="Verdana"/>
          <w:color w:val="000000"/>
        </w:rPr>
        <w:t>, Plaintiff alleges that he and the proposed class members provided GE with their personal information as required as a condition of their employment, and thus “fully performed their obligations under the implied contracts with GE.” (</w:t>
      </w:r>
      <w:r w:rsidRPr="00E55CA7">
        <w:rPr>
          <w:rFonts w:ascii="Verdana" w:hAnsi="Verdana"/>
          <w:i/>
          <w:color w:val="000000"/>
        </w:rPr>
        <w:t>See</w:t>
      </w:r>
      <w:r w:rsidRPr="00E55CA7">
        <w:rPr>
          <w:rFonts w:ascii="Verdana" w:hAnsi="Verdana"/>
          <w:color w:val="000000"/>
        </w:rPr>
        <w:t xml:space="preserve"> </w:t>
      </w:r>
      <w:proofErr w:type="spellStart"/>
      <w:r w:rsidRPr="00E55CA7">
        <w:rPr>
          <w:rFonts w:ascii="Verdana" w:hAnsi="Verdana"/>
          <w:color w:val="000000"/>
        </w:rPr>
        <w:t>Compl</w:t>
      </w:r>
      <w:proofErr w:type="spellEnd"/>
      <w:r w:rsidRPr="00E55CA7">
        <w:rPr>
          <w:rFonts w:ascii="Verdana" w:hAnsi="Verdana"/>
          <w:color w:val="000000"/>
        </w:rPr>
        <w:t xml:space="preserve">. ¶¶ 122-123). </w:t>
      </w:r>
      <w:r w:rsidRPr="00E55CA7">
        <w:rPr>
          <w:rFonts w:ascii="Verdana" w:hAnsi="Verdana"/>
          <w:i/>
          <w:color w:val="000000"/>
        </w:rPr>
        <w:t>Second</w:t>
      </w:r>
      <w:r w:rsidRPr="00E55CA7">
        <w:rPr>
          <w:rFonts w:ascii="Verdana" w:hAnsi="Verdana"/>
          <w:color w:val="000000"/>
        </w:rPr>
        <w:t>, Plaintiff alleges that GE breached the implied contracts “by failing to safeguard and protect [employees’] personal and financial information, ... and by failing to provide timely and accurate notice to them that personal and financial information, along with the personal information of their beneficiaries and dependents, was compromised as a result of the data breach.” (</w:t>
      </w:r>
      <w:r w:rsidRPr="00E55CA7">
        <w:rPr>
          <w:rFonts w:ascii="Verdana" w:hAnsi="Verdana"/>
          <w:i/>
          <w:color w:val="000000"/>
        </w:rPr>
        <w:t>Id.</w:t>
      </w:r>
      <w:r w:rsidRPr="00E55CA7">
        <w:rPr>
          <w:rFonts w:ascii="Verdana" w:hAnsi="Verdana"/>
          <w:color w:val="000000"/>
        </w:rPr>
        <w:t xml:space="preserve"> at ¶ 124; </w:t>
      </w:r>
      <w:r w:rsidRPr="00E55CA7">
        <w:rPr>
          <w:rFonts w:ascii="Verdana" w:hAnsi="Verdana"/>
          <w:i/>
          <w:color w:val="000000"/>
        </w:rPr>
        <w:t>see also</w:t>
      </w:r>
      <w:r w:rsidRPr="00E55CA7">
        <w:rPr>
          <w:rFonts w:ascii="Verdana" w:hAnsi="Verdana"/>
          <w:color w:val="000000"/>
        </w:rPr>
        <w:t xml:space="preserve"> </w:t>
      </w:r>
      <w:r w:rsidRPr="00E55CA7">
        <w:rPr>
          <w:rFonts w:ascii="Verdana" w:hAnsi="Verdana"/>
          <w:i/>
          <w:color w:val="000000"/>
        </w:rPr>
        <w:t>id.</w:t>
      </w:r>
      <w:r w:rsidRPr="00E55CA7">
        <w:rPr>
          <w:rFonts w:ascii="Verdana" w:hAnsi="Verdana"/>
          <w:color w:val="000000"/>
        </w:rPr>
        <w:t xml:space="preserve"> at ¶ 40 (“GE failed to maintain the confidentiality of PFI, ... failed to prevent the unauthorized disclosure of PFI outside of GE, and failed to provide security </w:t>
      </w:r>
      <w:r w:rsidRPr="00E55CA7">
        <w:rPr>
          <w:rFonts w:ascii="Verdana" w:hAnsi="Verdana"/>
          <w:color w:val="000000"/>
        </w:rPr>
        <w:lastRenderedPageBreak/>
        <w:t xml:space="preserve">measures consistent with industry standards for the protection of PFI, of its current and former employees and the beneficiaries of GE's employees.”)). </w:t>
      </w:r>
      <w:r w:rsidRPr="00E55CA7">
        <w:rPr>
          <w:rFonts w:ascii="Verdana" w:hAnsi="Verdana"/>
          <w:i/>
          <w:color w:val="000000"/>
        </w:rPr>
        <w:t>Third</w:t>
      </w:r>
      <w:r w:rsidRPr="00E55CA7">
        <w:rPr>
          <w:rFonts w:ascii="Verdana" w:hAnsi="Verdana"/>
          <w:color w:val="000000"/>
        </w:rPr>
        <w:t>, as discussed previously with respect to Plaintiff's negligence claim, Plaintiff has adequately pleaded that he and proposed class members suffered cognizable damages as a result of the Data Breach. (</w:t>
      </w:r>
      <w:r w:rsidRPr="00E55CA7">
        <w:rPr>
          <w:rFonts w:ascii="Verdana" w:hAnsi="Verdana"/>
          <w:i/>
          <w:color w:val="000000"/>
        </w:rPr>
        <w:t>See id.</w:t>
      </w:r>
      <w:r w:rsidRPr="00E55CA7">
        <w:rPr>
          <w:rFonts w:ascii="Verdana" w:hAnsi="Verdana"/>
          <w:color w:val="000000"/>
        </w:rPr>
        <w:t xml:space="preserve"> at ¶¶ 79, 125).</w:t>
      </w:r>
    </w:p>
    <w:p w14:paraId="5D2BC001" w14:textId="77777777" w:rsidR="00C62D91" w:rsidRPr="00E55CA7" w:rsidRDefault="00000000">
      <w:pPr>
        <w:spacing w:after="0" w:line="275" w:lineRule="atLeast"/>
        <w:jc w:val="both"/>
        <w:rPr>
          <w:rFonts w:ascii="Verdana" w:hAnsi="Verdana"/>
        </w:rPr>
      </w:pPr>
      <w:r w:rsidRPr="00E55CA7">
        <w:rPr>
          <w:rFonts w:ascii="Verdana" w:hAnsi="Verdana"/>
          <w:color w:val="000000"/>
        </w:rPr>
        <w:t> </w:t>
      </w:r>
    </w:p>
    <w:p w14:paraId="7271D268" w14:textId="77777777" w:rsidR="00C62D91" w:rsidRPr="00E55CA7" w:rsidRDefault="00000000">
      <w:pPr>
        <w:spacing w:after="0" w:line="275" w:lineRule="atLeast"/>
        <w:jc w:val="both"/>
        <w:rPr>
          <w:rFonts w:ascii="Verdana" w:hAnsi="Verdana"/>
        </w:rPr>
      </w:pPr>
      <w:r w:rsidRPr="00E55CA7">
        <w:rPr>
          <w:rFonts w:ascii="Verdana" w:hAnsi="Verdana"/>
          <w:color w:val="000000"/>
        </w:rPr>
        <w:t>Accordingly, the Court grants Defendants’ motion to dismiss Plaintiff's claim for breach of express contract, but denies the motion as to Plaintiff's claim for implied breach of contract.</w:t>
      </w:r>
    </w:p>
    <w:p w14:paraId="286B32BF" w14:textId="02A7D0EF" w:rsidR="00C62D91" w:rsidRPr="00E55CA7" w:rsidRDefault="00000000" w:rsidP="00800992">
      <w:pPr>
        <w:spacing w:after="0" w:line="275" w:lineRule="atLeast"/>
        <w:jc w:val="both"/>
        <w:rPr>
          <w:rFonts w:ascii="Verdana" w:hAnsi="Verdana"/>
        </w:rPr>
      </w:pPr>
      <w:r w:rsidRPr="00E55CA7">
        <w:rPr>
          <w:rFonts w:ascii="Verdana" w:hAnsi="Verdana"/>
          <w:color w:val="000000"/>
        </w:rPr>
        <w:t> </w:t>
      </w:r>
    </w:p>
    <w:p w14:paraId="4F1F7A84" w14:textId="573B7B52" w:rsidR="00C62D91" w:rsidRPr="00E55CA7" w:rsidRDefault="00C62D91">
      <w:pPr>
        <w:spacing w:after="0" w:line="275" w:lineRule="atLeast"/>
        <w:jc w:val="both"/>
        <w:rPr>
          <w:rFonts w:ascii="Verdana" w:hAnsi="Verdana"/>
        </w:rPr>
      </w:pPr>
    </w:p>
    <w:tbl>
      <w:tblPr>
        <w:tblW w:w="0" w:type="auto"/>
        <w:tblInd w:w="10" w:type="dxa"/>
        <w:tblLayout w:type="fixed"/>
        <w:tblCellMar>
          <w:left w:w="10" w:type="dxa"/>
          <w:right w:w="10" w:type="dxa"/>
        </w:tblCellMar>
        <w:tblLook w:val="04A0" w:firstRow="1" w:lastRow="0" w:firstColumn="1" w:lastColumn="0" w:noHBand="0" w:noVBand="1"/>
      </w:tblPr>
      <w:tblGrid>
        <w:gridCol w:w="600"/>
        <w:gridCol w:w="9450"/>
      </w:tblGrid>
      <w:tr w:rsidR="00E55CA7" w:rsidRPr="00E55CA7" w14:paraId="44FC69A0" w14:textId="77777777" w:rsidTr="00E55CA7">
        <w:tc>
          <w:tcPr>
            <w:tcW w:w="10050" w:type="dxa"/>
            <w:gridSpan w:val="2"/>
            <w:tcMar>
              <w:bottom w:w="300" w:type="dxa"/>
            </w:tcMar>
          </w:tcPr>
          <w:p w14:paraId="69E61842" w14:textId="77777777" w:rsidR="00C62D91" w:rsidRPr="00E55CA7" w:rsidRDefault="00000000">
            <w:pPr>
              <w:spacing w:after="0" w:line="275" w:lineRule="atLeast"/>
              <w:jc w:val="center"/>
              <w:rPr>
                <w:rFonts w:ascii="Verdana" w:hAnsi="Verdana"/>
              </w:rPr>
            </w:pPr>
            <w:bookmarkStart w:id="17" w:name="co_footnoteSection_1"/>
            <w:r w:rsidRPr="00E55CA7">
              <w:rPr>
                <w:rFonts w:ascii="Verdana" w:hAnsi="Verdana"/>
                <w:b/>
                <w:color w:val="000000"/>
              </w:rPr>
              <w:t>Footnotes</w:t>
            </w:r>
          </w:p>
        </w:tc>
      </w:tr>
      <w:bookmarkStart w:id="18" w:name="co_footnote_B00012054243350_1"/>
      <w:bookmarkEnd w:id="17"/>
      <w:tr w:rsidR="00C62D91" w:rsidRPr="00E55CA7" w14:paraId="72FCB0D4" w14:textId="77777777">
        <w:tc>
          <w:tcPr>
            <w:tcW w:w="600" w:type="dxa"/>
          </w:tcPr>
          <w:p w14:paraId="226CF91E" w14:textId="77777777" w:rsidR="00C62D91" w:rsidRPr="00E55CA7" w:rsidRDefault="00000000">
            <w:pPr>
              <w:spacing w:after="0" w:line="275" w:lineRule="atLeast"/>
              <w:rPr>
                <w:rFonts w:ascii="Verdana" w:hAnsi="Verdana"/>
              </w:rPr>
            </w:pPr>
            <w:r w:rsidRPr="00E55CA7">
              <w:rPr>
                <w:rFonts w:ascii="Verdana" w:hAnsi="Verdana"/>
              </w:rPr>
              <w:fldChar w:fldCharType="begin"/>
            </w:r>
            <w:r w:rsidRPr="00E55CA7">
              <w:rPr>
                <w:rFonts w:ascii="Verdana" w:hAnsi="Verdana"/>
              </w:rPr>
              <w:instrText xml:space="preserve"> HYPERLINK \l "co_fnRef_B00012054243350_ID0EXH_1" \h </w:instrText>
            </w:r>
            <w:r w:rsidRPr="00E55CA7">
              <w:rPr>
                <w:rFonts w:ascii="Verdana" w:hAnsi="Verdana"/>
              </w:rPr>
              <w:fldChar w:fldCharType="separate"/>
            </w:r>
            <w:r w:rsidRPr="00E55CA7">
              <w:rPr>
                <w:rFonts w:ascii="Verdana" w:hAnsi="Verdana"/>
                <w:color w:val="0E568C"/>
                <w:vertAlign w:val="superscript"/>
              </w:rPr>
              <w:t>1</w:t>
            </w:r>
            <w:r w:rsidRPr="00E55CA7">
              <w:rPr>
                <w:rFonts w:ascii="Verdana" w:hAnsi="Verdana"/>
                <w:color w:val="0E568C"/>
                <w:vertAlign w:val="superscript"/>
              </w:rPr>
              <w:fldChar w:fldCharType="end"/>
            </w:r>
            <w:bookmarkEnd w:id="18"/>
          </w:p>
        </w:tc>
        <w:tc>
          <w:tcPr>
            <w:tcW w:w="9450" w:type="dxa"/>
          </w:tcPr>
          <w:p w14:paraId="499DAD25" w14:textId="77777777" w:rsidR="00C62D91" w:rsidRPr="00E55CA7" w:rsidRDefault="00000000">
            <w:pPr>
              <w:pBdr>
                <w:bottom w:val="none" w:sz="0" w:space="8" w:color="auto"/>
              </w:pBdr>
              <w:spacing w:after="0" w:line="275" w:lineRule="atLeast"/>
              <w:jc w:val="both"/>
              <w:rPr>
                <w:rFonts w:ascii="Verdana" w:hAnsi="Verdana"/>
              </w:rPr>
            </w:pPr>
            <w:r w:rsidRPr="00E55CA7">
              <w:rPr>
                <w:rFonts w:ascii="Verdana" w:hAnsi="Verdana"/>
                <w:color w:val="000000"/>
              </w:rPr>
              <w:t>This Opinion draws its facts primarily from the well-pleaded allegations of the Consolidated Class Action Complaint (“Complaint” or “</w:t>
            </w:r>
            <w:proofErr w:type="spellStart"/>
            <w:r w:rsidRPr="00E55CA7">
              <w:rPr>
                <w:rFonts w:ascii="Verdana" w:hAnsi="Verdana"/>
                <w:color w:val="000000"/>
              </w:rPr>
              <w:t>Compl</w:t>
            </w:r>
            <w:proofErr w:type="spellEnd"/>
            <w:r w:rsidRPr="00E55CA7">
              <w:rPr>
                <w:rFonts w:ascii="Verdana" w:hAnsi="Verdana"/>
                <w:color w:val="000000"/>
              </w:rPr>
              <w:t>.” (</w:t>
            </w:r>
            <w:proofErr w:type="spellStart"/>
            <w:r w:rsidRPr="00E55CA7">
              <w:rPr>
                <w:rFonts w:ascii="Verdana" w:hAnsi="Verdana"/>
                <w:color w:val="000000"/>
              </w:rPr>
              <w:t>Dkt</w:t>
            </w:r>
            <w:proofErr w:type="spellEnd"/>
            <w:r w:rsidRPr="00E55CA7">
              <w:rPr>
                <w:rFonts w:ascii="Verdana" w:hAnsi="Verdana"/>
                <w:color w:val="000000"/>
              </w:rPr>
              <w:t>. #40)). The Court also considers the Declaration of James Allen in Support of Defendants’ Motion to Dismiss (“Allen Decl.” (</w:t>
            </w:r>
            <w:proofErr w:type="spellStart"/>
            <w:r w:rsidRPr="00E55CA7">
              <w:rPr>
                <w:rFonts w:ascii="Verdana" w:hAnsi="Verdana"/>
                <w:color w:val="000000"/>
              </w:rPr>
              <w:t>Dkt</w:t>
            </w:r>
            <w:proofErr w:type="spellEnd"/>
            <w:r w:rsidRPr="00E55CA7">
              <w:rPr>
                <w:rFonts w:ascii="Verdana" w:hAnsi="Verdana"/>
                <w:color w:val="000000"/>
              </w:rPr>
              <w:t>. #59)), the Declaration of Steven Fowler in Opposition to Defendants’ Motion to Dismiss (“Fowler Decl.” (</w:t>
            </w:r>
            <w:proofErr w:type="spellStart"/>
            <w:r w:rsidRPr="00E55CA7">
              <w:rPr>
                <w:rFonts w:ascii="Verdana" w:hAnsi="Verdana"/>
                <w:color w:val="000000"/>
              </w:rPr>
              <w:t>Dkt</w:t>
            </w:r>
            <w:proofErr w:type="spellEnd"/>
            <w:r w:rsidRPr="00E55CA7">
              <w:rPr>
                <w:rFonts w:ascii="Verdana" w:hAnsi="Verdana"/>
                <w:color w:val="000000"/>
              </w:rPr>
              <w:t xml:space="preserve">. #64-3)), and several documents incorporated by reference in the Complaint and publicly available on GE's website, including a policy document called “The Spirit and the Letter,” available at https://www.ge.com/in/sites/www.ge.com.in/files/TheSpirit&amp;TheLetter.pdf (last accessed August 2, 2021). Because Defendants move for dismissal under </w:t>
            </w:r>
            <w:hyperlink r:id="rId19">
              <w:r w:rsidRPr="00E55CA7">
                <w:rPr>
                  <w:rFonts w:ascii="Verdana" w:hAnsi="Verdana"/>
                  <w:color w:val="0E568C"/>
                </w:rPr>
                <w:t>Federal Rule of Civil Procedure 12(b)(1)</w:t>
              </w:r>
            </w:hyperlink>
            <w:r w:rsidRPr="00E55CA7">
              <w:rPr>
                <w:rFonts w:ascii="Verdana" w:hAnsi="Verdana"/>
                <w:color w:val="000000"/>
              </w:rPr>
              <w:t xml:space="preserve"> for lack of standing on the part of Plaintiff Fowler, the Court may also refer to evidence outside the pleadings to determine its subject matter jurisdiction. </w:t>
            </w:r>
            <w:r w:rsidRPr="00E55CA7">
              <w:rPr>
                <w:rFonts w:ascii="Verdana" w:hAnsi="Verdana"/>
                <w:i/>
                <w:color w:val="000000"/>
              </w:rPr>
              <w:t>See</w:t>
            </w:r>
            <w:r w:rsidRPr="00E55CA7">
              <w:rPr>
                <w:rFonts w:ascii="Verdana" w:hAnsi="Verdana"/>
                <w:color w:val="000000"/>
              </w:rPr>
              <w:t xml:space="preserve"> </w:t>
            </w:r>
            <w:hyperlink r:id="rId20" w:anchor="co_pp_sp_506_120">
              <w:r w:rsidRPr="00E55CA7">
                <w:rPr>
                  <w:rFonts w:ascii="Verdana" w:hAnsi="Verdana"/>
                  <w:i/>
                  <w:color w:val="0E568C"/>
                </w:rPr>
                <w:t xml:space="preserve">Libertarian Party of Erie </w:t>
              </w:r>
              <w:proofErr w:type="spellStart"/>
              <w:r w:rsidRPr="00E55CA7">
                <w:rPr>
                  <w:rFonts w:ascii="Verdana" w:hAnsi="Verdana"/>
                  <w:i/>
                  <w:color w:val="0E568C"/>
                </w:rPr>
                <w:t>Cty</w:t>
              </w:r>
              <w:proofErr w:type="spellEnd"/>
              <w:r w:rsidRPr="00E55CA7">
                <w:rPr>
                  <w:rFonts w:ascii="Verdana" w:hAnsi="Verdana"/>
                  <w:i/>
                  <w:color w:val="0E568C"/>
                </w:rPr>
                <w:t>.</w:t>
              </w:r>
              <w:r w:rsidRPr="00E55CA7">
                <w:rPr>
                  <w:rFonts w:ascii="Verdana" w:hAnsi="Verdana"/>
                  <w:color w:val="0E568C"/>
                </w:rPr>
                <w:t xml:space="preserve"> v. </w:t>
              </w:r>
              <w:r w:rsidRPr="00E55CA7">
                <w:rPr>
                  <w:rFonts w:ascii="Verdana" w:hAnsi="Verdana"/>
                  <w:i/>
                  <w:color w:val="0E568C"/>
                </w:rPr>
                <w:t>Cuomo</w:t>
              </w:r>
              <w:r w:rsidRPr="00E55CA7">
                <w:rPr>
                  <w:rFonts w:ascii="Verdana" w:hAnsi="Verdana"/>
                  <w:color w:val="0E568C"/>
                </w:rPr>
                <w:t>, 970 F.3d 106, 120-21 (2d Cir. 2020)</w:t>
              </w:r>
            </w:hyperlink>
            <w:r w:rsidRPr="00E55CA7">
              <w:rPr>
                <w:rFonts w:ascii="Verdana" w:hAnsi="Verdana"/>
                <w:color w:val="000000"/>
              </w:rPr>
              <w:t xml:space="preserve">, </w:t>
            </w:r>
            <w:r w:rsidRPr="00E55CA7">
              <w:rPr>
                <w:rFonts w:ascii="Verdana" w:hAnsi="Verdana"/>
                <w:i/>
                <w:color w:val="000000"/>
              </w:rPr>
              <w:t>cert. denied sub nom.</w:t>
            </w:r>
            <w:r w:rsidRPr="00E55CA7">
              <w:rPr>
                <w:rFonts w:ascii="Verdana" w:hAnsi="Verdana"/>
                <w:color w:val="000000"/>
              </w:rPr>
              <w:t xml:space="preserve"> </w:t>
            </w:r>
            <w:hyperlink r:id="rId21">
              <w:r w:rsidRPr="00E55CA7">
                <w:rPr>
                  <w:rFonts w:ascii="Verdana" w:hAnsi="Verdana"/>
                  <w:i/>
                  <w:color w:val="0E568C"/>
                </w:rPr>
                <w:t>Libertarian Party</w:t>
              </w:r>
              <w:r w:rsidRPr="00E55CA7">
                <w:rPr>
                  <w:rFonts w:ascii="Verdana" w:hAnsi="Verdana"/>
                  <w:color w:val="0E568C"/>
                </w:rPr>
                <w:t xml:space="preserve"> v. </w:t>
              </w:r>
              <w:r w:rsidRPr="00E55CA7">
                <w:rPr>
                  <w:rFonts w:ascii="Verdana" w:hAnsi="Verdana"/>
                  <w:i/>
                  <w:color w:val="0E568C"/>
                </w:rPr>
                <w:t>Cuomo</w:t>
              </w:r>
              <w:r w:rsidRPr="00E55CA7">
                <w:rPr>
                  <w:rFonts w:ascii="Verdana" w:hAnsi="Verdana"/>
                  <w:color w:val="0E568C"/>
                </w:rPr>
                <w:t>, — S. Ct. —, 2021 WL 2519117 (June 21, 2021)</w:t>
              </w:r>
            </w:hyperlink>
            <w:r w:rsidRPr="00E55CA7">
              <w:rPr>
                <w:rFonts w:ascii="Verdana" w:hAnsi="Verdana"/>
                <w:color w:val="000000"/>
              </w:rPr>
              <w:t xml:space="preserve">; </w:t>
            </w:r>
            <w:hyperlink r:id="rId22" w:anchor="co_pp_sp_506_113">
              <w:r w:rsidRPr="00E55CA7">
                <w:rPr>
                  <w:rFonts w:ascii="Verdana" w:hAnsi="Verdana"/>
                  <w:i/>
                  <w:color w:val="0E568C"/>
                </w:rPr>
                <w:t>Makarova</w:t>
              </w:r>
              <w:r w:rsidRPr="00E55CA7">
                <w:rPr>
                  <w:rFonts w:ascii="Verdana" w:hAnsi="Verdana"/>
                  <w:color w:val="0E568C"/>
                </w:rPr>
                <w:t xml:space="preserve"> v. </w:t>
              </w:r>
              <w:r w:rsidRPr="00E55CA7">
                <w:rPr>
                  <w:rFonts w:ascii="Verdana" w:hAnsi="Verdana"/>
                  <w:i/>
                  <w:color w:val="0E568C"/>
                </w:rPr>
                <w:t>United States</w:t>
              </w:r>
              <w:r w:rsidRPr="00E55CA7">
                <w:rPr>
                  <w:rFonts w:ascii="Verdana" w:hAnsi="Verdana"/>
                  <w:color w:val="0E568C"/>
                </w:rPr>
                <w:t>, 201 F.3d 110, 113 (2d Cir. 2000)</w:t>
              </w:r>
            </w:hyperlink>
            <w:r w:rsidRPr="00E55CA7">
              <w:rPr>
                <w:rFonts w:ascii="Verdana" w:hAnsi="Verdana"/>
                <w:color w:val="000000"/>
              </w:rPr>
              <w:t>.</w:t>
            </w:r>
          </w:p>
          <w:p w14:paraId="41083597" w14:textId="77777777" w:rsidR="00C62D91" w:rsidRPr="00E55CA7" w:rsidRDefault="00000000">
            <w:pPr>
              <w:pBdr>
                <w:left w:val="none" w:sz="0" w:space="10" w:color="auto"/>
                <w:bottom w:val="none" w:sz="0" w:space="8" w:color="auto"/>
              </w:pBdr>
              <w:spacing w:after="0" w:line="275" w:lineRule="atLeast"/>
              <w:ind w:left="200"/>
              <w:jc w:val="both"/>
              <w:rPr>
                <w:rFonts w:ascii="Verdana" w:hAnsi="Verdana"/>
              </w:rPr>
            </w:pPr>
            <w:r w:rsidRPr="00E55CA7">
              <w:rPr>
                <w:rFonts w:ascii="Verdana" w:hAnsi="Verdana"/>
                <w:color w:val="000000"/>
              </w:rPr>
              <w:t>For ease of reference, the Court refers to Defendants’ Memorandum of Law in Support of Defendants’ Motion to Dismiss the Consolidated Class Action Complaint as “Def. Br.” (</w:t>
            </w:r>
            <w:proofErr w:type="spellStart"/>
            <w:r w:rsidRPr="00E55CA7">
              <w:rPr>
                <w:rFonts w:ascii="Verdana" w:hAnsi="Verdana"/>
                <w:color w:val="000000"/>
              </w:rPr>
              <w:t>Dkt</w:t>
            </w:r>
            <w:proofErr w:type="spellEnd"/>
            <w:r w:rsidRPr="00E55CA7">
              <w:rPr>
                <w:rFonts w:ascii="Verdana" w:hAnsi="Verdana"/>
                <w:color w:val="000000"/>
              </w:rPr>
              <w:t>. #58); to Plaintiff's Memorandum of Law in Opposition to Defendants’ Motion as “Pl. Opp.” (</w:t>
            </w:r>
            <w:proofErr w:type="spellStart"/>
            <w:r w:rsidRPr="00E55CA7">
              <w:rPr>
                <w:rFonts w:ascii="Verdana" w:hAnsi="Verdana"/>
                <w:color w:val="000000"/>
              </w:rPr>
              <w:t>Dkt</w:t>
            </w:r>
            <w:proofErr w:type="spellEnd"/>
            <w:r w:rsidRPr="00E55CA7">
              <w:rPr>
                <w:rFonts w:ascii="Verdana" w:hAnsi="Verdana"/>
                <w:color w:val="000000"/>
              </w:rPr>
              <w:t>. #64); and to Defendants’ Reply Memorandum of Law as “Def. Reply” (</w:t>
            </w:r>
            <w:proofErr w:type="spellStart"/>
            <w:r w:rsidRPr="00E55CA7">
              <w:rPr>
                <w:rFonts w:ascii="Verdana" w:hAnsi="Verdana"/>
                <w:color w:val="000000"/>
              </w:rPr>
              <w:t>Dkt</w:t>
            </w:r>
            <w:proofErr w:type="spellEnd"/>
            <w:r w:rsidRPr="00E55CA7">
              <w:rPr>
                <w:rFonts w:ascii="Verdana" w:hAnsi="Verdana"/>
                <w:color w:val="000000"/>
              </w:rPr>
              <w:t>. #65).</w:t>
            </w:r>
          </w:p>
        </w:tc>
      </w:tr>
      <w:bookmarkStart w:id="19" w:name="co_footnote_B00022054243350_1"/>
      <w:tr w:rsidR="00C62D91" w:rsidRPr="00E55CA7" w14:paraId="353F688C" w14:textId="77777777">
        <w:tc>
          <w:tcPr>
            <w:tcW w:w="600" w:type="dxa"/>
          </w:tcPr>
          <w:p w14:paraId="6318A016" w14:textId="77777777" w:rsidR="00C62D91" w:rsidRPr="00E55CA7" w:rsidRDefault="00000000">
            <w:pPr>
              <w:spacing w:after="0" w:line="275" w:lineRule="atLeast"/>
              <w:rPr>
                <w:rFonts w:ascii="Verdana" w:hAnsi="Verdana"/>
              </w:rPr>
            </w:pPr>
            <w:r w:rsidRPr="00E55CA7">
              <w:rPr>
                <w:rFonts w:ascii="Verdana" w:hAnsi="Verdana"/>
              </w:rPr>
              <w:fldChar w:fldCharType="begin"/>
            </w:r>
            <w:r w:rsidRPr="00E55CA7">
              <w:rPr>
                <w:rFonts w:ascii="Verdana" w:hAnsi="Verdana"/>
              </w:rPr>
              <w:instrText xml:space="preserve"> HYPERLINK \l "co_fnRef_B00022054243350_ID0ENWAE_1" \h </w:instrText>
            </w:r>
            <w:r w:rsidRPr="00E55CA7">
              <w:rPr>
                <w:rFonts w:ascii="Verdana" w:hAnsi="Verdana"/>
              </w:rPr>
              <w:fldChar w:fldCharType="separate"/>
            </w:r>
            <w:r w:rsidRPr="00E55CA7">
              <w:rPr>
                <w:rFonts w:ascii="Verdana" w:hAnsi="Verdana"/>
                <w:color w:val="0E568C"/>
                <w:vertAlign w:val="superscript"/>
              </w:rPr>
              <w:t>2</w:t>
            </w:r>
            <w:r w:rsidRPr="00E55CA7">
              <w:rPr>
                <w:rFonts w:ascii="Verdana" w:hAnsi="Verdana"/>
                <w:color w:val="0E568C"/>
                <w:vertAlign w:val="superscript"/>
              </w:rPr>
              <w:fldChar w:fldCharType="end"/>
            </w:r>
            <w:bookmarkEnd w:id="19"/>
          </w:p>
        </w:tc>
        <w:tc>
          <w:tcPr>
            <w:tcW w:w="9450" w:type="dxa"/>
          </w:tcPr>
          <w:p w14:paraId="42C25B90" w14:textId="77777777" w:rsidR="00C62D91" w:rsidRPr="00E55CA7" w:rsidRDefault="00000000">
            <w:pPr>
              <w:pBdr>
                <w:bottom w:val="none" w:sz="0" w:space="8" w:color="auto"/>
              </w:pBdr>
              <w:spacing w:after="0" w:line="275" w:lineRule="atLeast"/>
              <w:jc w:val="both"/>
              <w:rPr>
                <w:rFonts w:ascii="Verdana" w:hAnsi="Verdana"/>
              </w:rPr>
            </w:pPr>
            <w:r w:rsidRPr="00E55CA7">
              <w:rPr>
                <w:rFonts w:ascii="Verdana" w:hAnsi="Verdana"/>
                <w:color w:val="000000"/>
              </w:rPr>
              <w:t>The Court is satisfied that Plaintiff's allegations satisfy the requirements of causation and redressability. Plaintiff adequately alleges that the injuries he suffered are “fairly traceable” to Defendants’ actions in collecting and storing PII without following proper data security principles or implementing adequate cyber security measures. (</w:t>
            </w:r>
            <w:r w:rsidRPr="00E55CA7">
              <w:rPr>
                <w:rFonts w:ascii="Verdana" w:hAnsi="Verdana"/>
                <w:i/>
                <w:color w:val="000000"/>
              </w:rPr>
              <w:t>See</w:t>
            </w:r>
            <w:r w:rsidRPr="00E55CA7">
              <w:rPr>
                <w:rFonts w:ascii="Verdana" w:hAnsi="Verdana"/>
                <w:color w:val="000000"/>
              </w:rPr>
              <w:t xml:space="preserve"> </w:t>
            </w:r>
            <w:proofErr w:type="spellStart"/>
            <w:r w:rsidRPr="00E55CA7">
              <w:rPr>
                <w:rFonts w:ascii="Verdana" w:hAnsi="Verdana"/>
                <w:color w:val="000000"/>
              </w:rPr>
              <w:t>Compl</w:t>
            </w:r>
            <w:proofErr w:type="spellEnd"/>
            <w:r w:rsidRPr="00E55CA7">
              <w:rPr>
                <w:rFonts w:ascii="Verdana" w:hAnsi="Verdana"/>
                <w:color w:val="000000"/>
              </w:rPr>
              <w:t xml:space="preserve">. ¶¶ 56-65). </w:t>
            </w:r>
            <w:r w:rsidRPr="00E55CA7">
              <w:rPr>
                <w:rFonts w:ascii="Verdana" w:hAnsi="Verdana"/>
                <w:i/>
                <w:color w:val="000000"/>
              </w:rPr>
              <w:t>See, e.g.</w:t>
            </w:r>
            <w:r w:rsidRPr="00E55CA7">
              <w:rPr>
                <w:rFonts w:ascii="Verdana" w:hAnsi="Verdana"/>
                <w:color w:val="000000"/>
              </w:rPr>
              <w:t xml:space="preserve">, </w:t>
            </w:r>
            <w:hyperlink r:id="rId23" w:anchor="co_pp_sp_506_60">
              <w:r w:rsidRPr="00E55CA7">
                <w:rPr>
                  <w:rFonts w:ascii="Verdana" w:hAnsi="Verdana"/>
                  <w:i/>
                  <w:color w:val="0E568C"/>
                </w:rPr>
                <w:t>In re U.S. Off. of Pers. Mgmt. Data Sec. Breach Litig.</w:t>
              </w:r>
              <w:r w:rsidRPr="00E55CA7">
                <w:rPr>
                  <w:rFonts w:ascii="Verdana" w:hAnsi="Verdana"/>
                  <w:color w:val="0E568C"/>
                </w:rPr>
                <w:t>, 928 F.3d 42, 60-61 (D.C. Cir. 2019)</w:t>
              </w:r>
            </w:hyperlink>
            <w:r w:rsidRPr="00E55CA7">
              <w:rPr>
                <w:rFonts w:ascii="Verdana" w:hAnsi="Verdana"/>
                <w:color w:val="000000"/>
              </w:rPr>
              <w:t xml:space="preserve"> (“</w:t>
            </w:r>
            <w:r w:rsidRPr="00E55CA7">
              <w:rPr>
                <w:rFonts w:ascii="Verdana" w:hAnsi="Verdana"/>
                <w:i/>
                <w:color w:val="000000"/>
              </w:rPr>
              <w:t>OPM</w:t>
            </w:r>
            <w:r w:rsidRPr="00E55CA7">
              <w:rPr>
                <w:rFonts w:ascii="Verdana" w:hAnsi="Verdana"/>
                <w:color w:val="000000"/>
              </w:rPr>
              <w:t xml:space="preserve">”); </w:t>
            </w:r>
            <w:hyperlink r:id="rId24" w:anchor="co_pp_sp_506_1029">
              <w:r w:rsidRPr="00E55CA7">
                <w:rPr>
                  <w:rFonts w:ascii="Verdana" w:hAnsi="Verdana"/>
                  <w:i/>
                  <w:color w:val="0E568C"/>
                </w:rPr>
                <w:t>In re Zappos.com, Inc.</w:t>
              </w:r>
              <w:r w:rsidRPr="00E55CA7">
                <w:rPr>
                  <w:rFonts w:ascii="Verdana" w:hAnsi="Verdana"/>
                  <w:color w:val="0E568C"/>
                </w:rPr>
                <w:t>, 888 F.3d 1020, 1029 (9th Cir. 2018)</w:t>
              </w:r>
            </w:hyperlink>
            <w:r w:rsidRPr="00E55CA7">
              <w:rPr>
                <w:rFonts w:ascii="Verdana" w:hAnsi="Verdana"/>
                <w:color w:val="000000"/>
              </w:rPr>
              <w:t xml:space="preserve"> (“</w:t>
            </w:r>
            <w:r w:rsidRPr="00E55CA7">
              <w:rPr>
                <w:rFonts w:ascii="Verdana" w:hAnsi="Verdana"/>
                <w:i/>
                <w:color w:val="000000"/>
              </w:rPr>
              <w:t>Zappos</w:t>
            </w:r>
            <w:r w:rsidRPr="00E55CA7">
              <w:rPr>
                <w:rFonts w:ascii="Verdana" w:hAnsi="Verdana"/>
                <w:color w:val="000000"/>
              </w:rPr>
              <w:t xml:space="preserve">”). And the Court concludes that “it is likely and not merely speculative that the plaintiff's injury will be remedied” by the damages and other forms of relief sought. </w:t>
            </w:r>
            <w:hyperlink r:id="rId25" w:anchor="co_pp_sp_780_273">
              <w:r w:rsidRPr="00E55CA7">
                <w:rPr>
                  <w:rFonts w:ascii="Verdana" w:hAnsi="Verdana"/>
                  <w:i/>
                  <w:color w:val="0E568C"/>
                </w:rPr>
                <w:t>Sprint Commc'ns Co., L.P.</w:t>
              </w:r>
              <w:r w:rsidRPr="00E55CA7">
                <w:rPr>
                  <w:rFonts w:ascii="Verdana" w:hAnsi="Verdana"/>
                  <w:color w:val="0E568C"/>
                </w:rPr>
                <w:t xml:space="preserve"> v. </w:t>
              </w:r>
              <w:r w:rsidRPr="00E55CA7">
                <w:rPr>
                  <w:rFonts w:ascii="Verdana" w:hAnsi="Verdana"/>
                  <w:i/>
                  <w:color w:val="0E568C"/>
                </w:rPr>
                <w:t>APCC Services, Inc.</w:t>
              </w:r>
              <w:r w:rsidRPr="00E55CA7">
                <w:rPr>
                  <w:rFonts w:ascii="Verdana" w:hAnsi="Verdana"/>
                  <w:color w:val="0E568C"/>
                </w:rPr>
                <w:t>, 554 U.S. 269, 273 (2008)</w:t>
              </w:r>
            </w:hyperlink>
            <w:r w:rsidRPr="00E55CA7">
              <w:rPr>
                <w:rFonts w:ascii="Verdana" w:hAnsi="Verdana"/>
                <w:color w:val="000000"/>
              </w:rPr>
              <w:t xml:space="preserve"> (internal quotation marks omitted); </w:t>
            </w:r>
            <w:r w:rsidRPr="00E55CA7">
              <w:rPr>
                <w:rFonts w:ascii="Verdana" w:hAnsi="Verdana"/>
                <w:i/>
                <w:color w:val="000000"/>
              </w:rPr>
              <w:t>see also</w:t>
            </w:r>
            <w:r w:rsidRPr="00E55CA7">
              <w:rPr>
                <w:rFonts w:ascii="Verdana" w:hAnsi="Verdana"/>
                <w:color w:val="000000"/>
              </w:rPr>
              <w:t xml:space="preserve"> </w:t>
            </w:r>
            <w:hyperlink r:id="rId26" w:anchor="co_pp_sp_506_1030">
              <w:r w:rsidRPr="00E55CA7">
                <w:rPr>
                  <w:rFonts w:ascii="Verdana" w:hAnsi="Verdana"/>
                  <w:i/>
                  <w:color w:val="0E568C"/>
                </w:rPr>
                <w:t>Zappos</w:t>
              </w:r>
              <w:r w:rsidRPr="00E55CA7">
                <w:rPr>
                  <w:rFonts w:ascii="Verdana" w:hAnsi="Verdana"/>
                  <w:color w:val="0E568C"/>
                </w:rPr>
                <w:t>, 888 F.3d at 1030</w:t>
              </w:r>
            </w:hyperlink>
            <w:r w:rsidRPr="00E55CA7">
              <w:rPr>
                <w:rFonts w:ascii="Verdana" w:hAnsi="Verdana"/>
                <w:color w:val="000000"/>
              </w:rPr>
              <w:t xml:space="preserve"> (“If Plaintiffs succeed on the merits, any proven </w:t>
            </w:r>
            <w:r w:rsidRPr="00E55CA7">
              <w:rPr>
                <w:rFonts w:ascii="Verdana" w:hAnsi="Verdana"/>
                <w:color w:val="000000"/>
              </w:rPr>
              <w:lastRenderedPageBreak/>
              <w:t>injury could be compensated through damages. And at least some of their requested injunctive relief would limit the extent of the threatened injury by helping Plaintiffs to monitor their credit and the like.” (</w:t>
            </w:r>
            <w:proofErr w:type="gramStart"/>
            <w:r w:rsidRPr="00E55CA7">
              <w:rPr>
                <w:rFonts w:ascii="Verdana" w:hAnsi="Verdana"/>
                <w:color w:val="000000"/>
              </w:rPr>
              <w:t>internal</w:t>
            </w:r>
            <w:proofErr w:type="gramEnd"/>
            <w:r w:rsidRPr="00E55CA7">
              <w:rPr>
                <w:rFonts w:ascii="Verdana" w:hAnsi="Verdana"/>
                <w:color w:val="000000"/>
              </w:rPr>
              <w:t xml:space="preserve"> citation omitted)).</w:t>
            </w:r>
          </w:p>
        </w:tc>
      </w:tr>
      <w:bookmarkStart w:id="20" w:name="co_footnote_B00032054243350_1"/>
      <w:tr w:rsidR="00C62D91" w:rsidRPr="00E55CA7" w14:paraId="6A5BFD99" w14:textId="77777777">
        <w:tc>
          <w:tcPr>
            <w:tcW w:w="600" w:type="dxa"/>
          </w:tcPr>
          <w:p w14:paraId="5C9A9667" w14:textId="77777777" w:rsidR="00C62D91" w:rsidRPr="00E55CA7" w:rsidRDefault="00000000">
            <w:pPr>
              <w:spacing w:after="0" w:line="275" w:lineRule="atLeast"/>
              <w:rPr>
                <w:rFonts w:ascii="Verdana" w:hAnsi="Verdana"/>
              </w:rPr>
            </w:pPr>
            <w:r w:rsidRPr="00E55CA7">
              <w:rPr>
                <w:rFonts w:ascii="Verdana" w:hAnsi="Verdana"/>
              </w:rPr>
              <w:lastRenderedPageBreak/>
              <w:fldChar w:fldCharType="begin"/>
            </w:r>
            <w:r w:rsidRPr="00E55CA7">
              <w:rPr>
                <w:rFonts w:ascii="Verdana" w:hAnsi="Verdana"/>
              </w:rPr>
              <w:instrText xml:space="preserve"> HYPERLINK \l "co_fnRef_B00032054243350_ID0EPIAG_1" \h </w:instrText>
            </w:r>
            <w:r w:rsidRPr="00E55CA7">
              <w:rPr>
                <w:rFonts w:ascii="Verdana" w:hAnsi="Verdana"/>
              </w:rPr>
              <w:fldChar w:fldCharType="separate"/>
            </w:r>
            <w:r w:rsidRPr="00E55CA7">
              <w:rPr>
                <w:rFonts w:ascii="Verdana" w:hAnsi="Verdana"/>
                <w:color w:val="0E568C"/>
                <w:vertAlign w:val="superscript"/>
              </w:rPr>
              <w:t>3</w:t>
            </w:r>
            <w:r w:rsidRPr="00E55CA7">
              <w:rPr>
                <w:rFonts w:ascii="Verdana" w:hAnsi="Verdana"/>
                <w:color w:val="0E568C"/>
                <w:vertAlign w:val="superscript"/>
              </w:rPr>
              <w:fldChar w:fldCharType="end"/>
            </w:r>
            <w:bookmarkEnd w:id="20"/>
          </w:p>
        </w:tc>
        <w:tc>
          <w:tcPr>
            <w:tcW w:w="9450" w:type="dxa"/>
          </w:tcPr>
          <w:p w14:paraId="3188DB90" w14:textId="77777777" w:rsidR="00C62D91" w:rsidRPr="00E55CA7" w:rsidRDefault="00000000">
            <w:pPr>
              <w:pBdr>
                <w:bottom w:val="none" w:sz="0" w:space="8" w:color="auto"/>
              </w:pBdr>
              <w:spacing w:after="0" w:line="275" w:lineRule="atLeast"/>
              <w:jc w:val="both"/>
              <w:rPr>
                <w:rFonts w:ascii="Verdana" w:hAnsi="Verdana"/>
              </w:rPr>
            </w:pPr>
            <w:r w:rsidRPr="00E55CA7">
              <w:rPr>
                <w:rFonts w:ascii="Verdana" w:hAnsi="Verdana"/>
                <w:color w:val="000000"/>
              </w:rPr>
              <w:t>Baz alleged that following the Data Breach he personally dealt with fraudulent charges to his bank account, electronic solicitations regarding his social security number and his date of birth, and the fraudulent use of his daughter's social security number, and had to expend substantial time and money to resolve the existing fraudulent activity and to detect and prevent future misuse. (</w:t>
            </w:r>
            <w:proofErr w:type="spellStart"/>
            <w:r w:rsidRPr="00E55CA7">
              <w:rPr>
                <w:rFonts w:ascii="Verdana" w:hAnsi="Verdana"/>
                <w:color w:val="000000"/>
              </w:rPr>
              <w:t>Compl</w:t>
            </w:r>
            <w:proofErr w:type="spellEnd"/>
            <w:r w:rsidRPr="00E55CA7">
              <w:rPr>
                <w:rFonts w:ascii="Verdana" w:hAnsi="Verdana"/>
                <w:color w:val="000000"/>
              </w:rPr>
              <w:t>. ¶¶ 17-20). He further attested that “[a]part from the Data Breach, Plaintiff Baz is unaware of any other breaches where his [Personal Financial Information (‘PFI’)] was compromised within the last year[.]” (</w:t>
            </w:r>
            <w:r w:rsidRPr="00E55CA7">
              <w:rPr>
                <w:rFonts w:ascii="Verdana" w:hAnsi="Verdana"/>
                <w:i/>
                <w:color w:val="000000"/>
              </w:rPr>
              <w:t>Id.</w:t>
            </w:r>
            <w:r w:rsidRPr="00E55CA7">
              <w:rPr>
                <w:rFonts w:ascii="Verdana" w:hAnsi="Verdana"/>
                <w:color w:val="000000"/>
              </w:rPr>
              <w:t xml:space="preserve"> at ¶ 17). However, in a declaration in support of Defendants’ motion to dismiss, James Allen, Canon's Senior Director for Digital Transformation Services, asserts that “[t]he Potentially Affected Emails did not include any personal information of or relating to Maher Baz.” (Allen Decl. ¶ 5). While one possible explanation for this inconsistency is that the harms Baz allegedly suffered resulted from a separate data breach of which Baz was not made aware, another possibility is that the Data Breach was more extensive than the Allen Declaration represents. The Court need not resolve this factual issue at this stage because, as discussed below, the Court concludes that Plaintiff Fowler has adequately alleged standing, even accepting that the scope of the Data Breach was as narrow as Canon claims.</w:t>
            </w:r>
          </w:p>
        </w:tc>
      </w:tr>
      <w:bookmarkStart w:id="21" w:name="co_footnote_B00042054243350_1"/>
      <w:tr w:rsidR="00C62D91" w:rsidRPr="00E55CA7" w14:paraId="56AE8694" w14:textId="77777777">
        <w:tc>
          <w:tcPr>
            <w:tcW w:w="600" w:type="dxa"/>
          </w:tcPr>
          <w:p w14:paraId="661CD210" w14:textId="77777777" w:rsidR="00C62D91" w:rsidRPr="00E55CA7" w:rsidRDefault="00000000">
            <w:pPr>
              <w:spacing w:after="0" w:line="275" w:lineRule="atLeast"/>
              <w:rPr>
                <w:rFonts w:ascii="Verdana" w:hAnsi="Verdana"/>
              </w:rPr>
            </w:pPr>
            <w:r w:rsidRPr="00E55CA7">
              <w:rPr>
                <w:rFonts w:ascii="Verdana" w:hAnsi="Verdana"/>
              </w:rPr>
              <w:fldChar w:fldCharType="begin"/>
            </w:r>
            <w:r w:rsidRPr="00E55CA7">
              <w:rPr>
                <w:rFonts w:ascii="Verdana" w:hAnsi="Verdana"/>
              </w:rPr>
              <w:instrText xml:space="preserve"> HYPERLINK \l "co_fnRef_B00042054243350_ID0EG4AG_1" \h </w:instrText>
            </w:r>
            <w:r w:rsidRPr="00E55CA7">
              <w:rPr>
                <w:rFonts w:ascii="Verdana" w:hAnsi="Verdana"/>
              </w:rPr>
              <w:fldChar w:fldCharType="separate"/>
            </w:r>
            <w:r w:rsidRPr="00E55CA7">
              <w:rPr>
                <w:rFonts w:ascii="Verdana" w:hAnsi="Verdana"/>
                <w:color w:val="0E568C"/>
                <w:vertAlign w:val="superscript"/>
              </w:rPr>
              <w:t>4</w:t>
            </w:r>
            <w:r w:rsidRPr="00E55CA7">
              <w:rPr>
                <w:rFonts w:ascii="Verdana" w:hAnsi="Verdana"/>
                <w:color w:val="0E568C"/>
                <w:vertAlign w:val="superscript"/>
              </w:rPr>
              <w:fldChar w:fldCharType="end"/>
            </w:r>
            <w:bookmarkEnd w:id="21"/>
          </w:p>
        </w:tc>
        <w:tc>
          <w:tcPr>
            <w:tcW w:w="9450" w:type="dxa"/>
          </w:tcPr>
          <w:p w14:paraId="7AB396D6" w14:textId="77777777" w:rsidR="00C62D91" w:rsidRPr="00E55CA7" w:rsidRDefault="00000000">
            <w:pPr>
              <w:pBdr>
                <w:bottom w:val="none" w:sz="0" w:space="8" w:color="auto"/>
              </w:pBdr>
              <w:spacing w:after="0" w:line="275" w:lineRule="atLeast"/>
              <w:jc w:val="both"/>
              <w:rPr>
                <w:rFonts w:ascii="Verdana" w:hAnsi="Verdana"/>
              </w:rPr>
            </w:pPr>
            <w:r w:rsidRPr="00E55CA7">
              <w:rPr>
                <w:rFonts w:ascii="Verdana" w:hAnsi="Verdana"/>
                <w:color w:val="000000"/>
              </w:rPr>
              <w:t>Plaintiff does not identify in the Complaint the state under whose law he asserts his common law claims. However, his jurisdiction and venue allegations point towards New York (</w:t>
            </w:r>
            <w:r w:rsidRPr="00E55CA7">
              <w:rPr>
                <w:rFonts w:ascii="Verdana" w:hAnsi="Verdana"/>
                <w:i/>
                <w:color w:val="000000"/>
              </w:rPr>
              <w:t>see</w:t>
            </w:r>
            <w:r w:rsidRPr="00E55CA7">
              <w:rPr>
                <w:rFonts w:ascii="Verdana" w:hAnsi="Verdana"/>
                <w:color w:val="000000"/>
              </w:rPr>
              <w:t xml:space="preserve"> </w:t>
            </w:r>
            <w:proofErr w:type="spellStart"/>
            <w:r w:rsidRPr="00E55CA7">
              <w:rPr>
                <w:rFonts w:ascii="Verdana" w:hAnsi="Verdana"/>
                <w:color w:val="000000"/>
              </w:rPr>
              <w:t>Compl</w:t>
            </w:r>
            <w:proofErr w:type="spellEnd"/>
            <w:r w:rsidRPr="00E55CA7">
              <w:rPr>
                <w:rFonts w:ascii="Verdana" w:hAnsi="Verdana"/>
                <w:color w:val="000000"/>
              </w:rPr>
              <w:t>. ¶¶ 12-14), the remaining state statutory claim concerns a New York statute (</w:t>
            </w:r>
            <w:r w:rsidRPr="00E55CA7">
              <w:rPr>
                <w:rFonts w:ascii="Verdana" w:hAnsi="Verdana"/>
                <w:i/>
                <w:color w:val="000000"/>
              </w:rPr>
              <w:t>see id.</w:t>
            </w:r>
            <w:r w:rsidRPr="00E55CA7">
              <w:rPr>
                <w:rFonts w:ascii="Verdana" w:hAnsi="Verdana"/>
                <w:color w:val="000000"/>
              </w:rPr>
              <w:t xml:space="preserve"> at ¶¶ 138-146), and he discusses New York law in his opposition to the motion to dismiss (</w:t>
            </w:r>
            <w:r w:rsidRPr="00E55CA7">
              <w:rPr>
                <w:rFonts w:ascii="Verdana" w:hAnsi="Verdana"/>
                <w:i/>
                <w:color w:val="000000"/>
              </w:rPr>
              <w:t>see</w:t>
            </w:r>
            <w:r w:rsidRPr="00E55CA7">
              <w:rPr>
                <w:rFonts w:ascii="Verdana" w:hAnsi="Verdana"/>
                <w:color w:val="000000"/>
              </w:rPr>
              <w:t xml:space="preserve"> Pl. Opp. 14-25). Accordingly, the Court concludes that Plaintiff's claims are properly analyzed under New York law.</w:t>
            </w:r>
          </w:p>
        </w:tc>
      </w:tr>
      <w:bookmarkStart w:id="22" w:name="co_footnote_B00052054243350_1"/>
      <w:tr w:rsidR="00C62D91" w:rsidRPr="00E55CA7" w14:paraId="24CAC5C4" w14:textId="77777777">
        <w:tc>
          <w:tcPr>
            <w:tcW w:w="600" w:type="dxa"/>
          </w:tcPr>
          <w:p w14:paraId="006DB8E8" w14:textId="77777777" w:rsidR="00C62D91" w:rsidRPr="00E55CA7" w:rsidRDefault="00000000">
            <w:pPr>
              <w:spacing w:after="0" w:line="275" w:lineRule="atLeast"/>
              <w:rPr>
                <w:rFonts w:ascii="Verdana" w:hAnsi="Verdana"/>
              </w:rPr>
            </w:pPr>
            <w:r w:rsidRPr="00E55CA7">
              <w:rPr>
                <w:rFonts w:ascii="Verdana" w:hAnsi="Verdana"/>
              </w:rPr>
              <w:fldChar w:fldCharType="begin"/>
            </w:r>
            <w:r w:rsidRPr="00E55CA7">
              <w:rPr>
                <w:rFonts w:ascii="Verdana" w:hAnsi="Verdana"/>
              </w:rPr>
              <w:instrText xml:space="preserve"> HYPERLINK \l "co_fnRef_B00052054243350_ID0ELEBG_1" \h </w:instrText>
            </w:r>
            <w:r w:rsidRPr="00E55CA7">
              <w:rPr>
                <w:rFonts w:ascii="Verdana" w:hAnsi="Verdana"/>
              </w:rPr>
              <w:fldChar w:fldCharType="separate"/>
            </w:r>
            <w:r w:rsidRPr="00E55CA7">
              <w:rPr>
                <w:rFonts w:ascii="Verdana" w:hAnsi="Verdana"/>
                <w:color w:val="0E568C"/>
                <w:vertAlign w:val="superscript"/>
              </w:rPr>
              <w:t>5</w:t>
            </w:r>
            <w:r w:rsidRPr="00E55CA7">
              <w:rPr>
                <w:rFonts w:ascii="Verdana" w:hAnsi="Verdana"/>
                <w:color w:val="0E568C"/>
                <w:vertAlign w:val="superscript"/>
              </w:rPr>
              <w:fldChar w:fldCharType="end"/>
            </w:r>
            <w:bookmarkEnd w:id="22"/>
          </w:p>
        </w:tc>
        <w:tc>
          <w:tcPr>
            <w:tcW w:w="9450" w:type="dxa"/>
          </w:tcPr>
          <w:p w14:paraId="0C5B474B" w14:textId="77777777" w:rsidR="00C62D91" w:rsidRPr="00E55CA7" w:rsidRDefault="00000000">
            <w:pPr>
              <w:pBdr>
                <w:bottom w:val="none" w:sz="0" w:space="8" w:color="auto"/>
              </w:pBdr>
              <w:spacing w:after="0" w:line="275" w:lineRule="atLeast"/>
              <w:jc w:val="both"/>
              <w:rPr>
                <w:rFonts w:ascii="Verdana" w:hAnsi="Verdana"/>
              </w:rPr>
            </w:pPr>
            <w:r w:rsidRPr="00E55CA7">
              <w:rPr>
                <w:rFonts w:ascii="Verdana" w:hAnsi="Verdana"/>
                <w:color w:val="000000"/>
              </w:rPr>
              <w:t xml:space="preserve">“Pleading damages to support a cause of action is distinct from pleading injury-in-fact to support standing.” </w:t>
            </w:r>
            <w:hyperlink r:id="rId27">
              <w:r w:rsidRPr="00E55CA7">
                <w:rPr>
                  <w:rFonts w:ascii="Verdana" w:hAnsi="Verdana"/>
                  <w:i/>
                  <w:color w:val="0E568C"/>
                </w:rPr>
                <w:t>Wallace</w:t>
              </w:r>
              <w:r w:rsidRPr="00E55CA7">
                <w:rPr>
                  <w:rFonts w:ascii="Verdana" w:hAnsi="Verdana"/>
                  <w:color w:val="0E568C"/>
                </w:rPr>
                <w:t xml:space="preserve"> v. </w:t>
              </w:r>
              <w:r w:rsidRPr="00E55CA7">
                <w:rPr>
                  <w:rFonts w:ascii="Verdana" w:hAnsi="Verdana"/>
                  <w:i/>
                  <w:color w:val="0E568C"/>
                </w:rPr>
                <w:t>Health Quest Sys., Inc.</w:t>
              </w:r>
              <w:r w:rsidRPr="00E55CA7">
                <w:rPr>
                  <w:rFonts w:ascii="Verdana" w:hAnsi="Verdana"/>
                  <w:color w:val="0E568C"/>
                </w:rPr>
                <w:t>, No. 20 Civ. 545 (VB), 2021 WL 1109727, at *5 (S.D.N.Y. Mar. 23, 2021)</w:t>
              </w:r>
            </w:hyperlink>
            <w:r w:rsidRPr="00E55CA7">
              <w:rPr>
                <w:rFonts w:ascii="Verdana" w:hAnsi="Verdana"/>
                <w:color w:val="000000"/>
              </w:rPr>
              <w:t xml:space="preserve"> (citing </w:t>
            </w:r>
            <w:hyperlink r:id="rId28" w:anchor="co_pp_sp_780_624">
              <w:r w:rsidRPr="00E55CA7">
                <w:rPr>
                  <w:rFonts w:ascii="Verdana" w:hAnsi="Verdana"/>
                  <w:i/>
                  <w:color w:val="0E568C"/>
                </w:rPr>
                <w:t>Doe</w:t>
              </w:r>
              <w:r w:rsidRPr="00E55CA7">
                <w:rPr>
                  <w:rFonts w:ascii="Verdana" w:hAnsi="Verdana"/>
                  <w:color w:val="0E568C"/>
                </w:rPr>
                <w:t xml:space="preserve"> v. </w:t>
              </w:r>
              <w:r w:rsidRPr="00E55CA7">
                <w:rPr>
                  <w:rFonts w:ascii="Verdana" w:hAnsi="Verdana"/>
                  <w:i/>
                  <w:color w:val="0E568C"/>
                </w:rPr>
                <w:t>Chao</w:t>
              </w:r>
              <w:r w:rsidRPr="00E55CA7">
                <w:rPr>
                  <w:rFonts w:ascii="Verdana" w:hAnsi="Verdana"/>
                  <w:color w:val="0E568C"/>
                </w:rPr>
                <w:t>, 540 U.S. 614, 624-25 (2004)</w:t>
              </w:r>
            </w:hyperlink>
            <w:r w:rsidRPr="00E55CA7">
              <w:rPr>
                <w:rFonts w:ascii="Verdana" w:hAnsi="Verdana"/>
                <w:color w:val="000000"/>
              </w:rPr>
              <w:t xml:space="preserve">). Consequently, the Court's determination that Plaintiff has adequately alleged an injury in fact to survive Defendants’ motion to dismiss under </w:t>
            </w:r>
            <w:hyperlink r:id="rId29">
              <w:r w:rsidRPr="00E55CA7">
                <w:rPr>
                  <w:rFonts w:ascii="Verdana" w:hAnsi="Verdana"/>
                  <w:color w:val="0E568C"/>
                </w:rPr>
                <w:t>Rule 12(b)(1)</w:t>
              </w:r>
            </w:hyperlink>
            <w:r w:rsidRPr="00E55CA7">
              <w:rPr>
                <w:rFonts w:ascii="Verdana" w:hAnsi="Verdana"/>
                <w:color w:val="000000"/>
              </w:rPr>
              <w:t xml:space="preserve"> is not dispositive; the Court must separately assess whether he has pleaded cognizable damages to survive the motion under </w:t>
            </w:r>
            <w:hyperlink r:id="rId30">
              <w:r w:rsidRPr="00E55CA7">
                <w:rPr>
                  <w:rFonts w:ascii="Verdana" w:hAnsi="Verdana"/>
                  <w:color w:val="0E568C"/>
                </w:rPr>
                <w:t>Rule 12(b)(6)</w:t>
              </w:r>
            </w:hyperlink>
            <w:r w:rsidRPr="00E55CA7">
              <w:rPr>
                <w:rFonts w:ascii="Verdana" w:hAnsi="Verdana"/>
                <w:color w:val="000000"/>
              </w:rPr>
              <w:t>.</w:t>
            </w:r>
          </w:p>
        </w:tc>
      </w:tr>
      <w:bookmarkStart w:id="23" w:name="co_footnote_B00062054243350_1"/>
      <w:tr w:rsidR="00C62D91" w:rsidRPr="00E55CA7" w14:paraId="2F70E79A" w14:textId="77777777">
        <w:tc>
          <w:tcPr>
            <w:tcW w:w="600" w:type="dxa"/>
          </w:tcPr>
          <w:p w14:paraId="1211B40E" w14:textId="77777777" w:rsidR="00C62D91" w:rsidRPr="00E55CA7" w:rsidRDefault="00000000">
            <w:pPr>
              <w:spacing w:after="0" w:line="275" w:lineRule="atLeast"/>
              <w:rPr>
                <w:rFonts w:ascii="Verdana" w:hAnsi="Verdana"/>
              </w:rPr>
            </w:pPr>
            <w:r w:rsidRPr="00E55CA7">
              <w:rPr>
                <w:rFonts w:ascii="Verdana" w:hAnsi="Verdana"/>
              </w:rPr>
              <w:fldChar w:fldCharType="begin"/>
            </w:r>
            <w:r w:rsidRPr="00E55CA7">
              <w:rPr>
                <w:rFonts w:ascii="Verdana" w:hAnsi="Verdana"/>
              </w:rPr>
              <w:instrText xml:space="preserve"> HYPERLINK \l "co_fnRef_B00062054243350_ID0EVIBI_1" \h </w:instrText>
            </w:r>
            <w:r w:rsidRPr="00E55CA7">
              <w:rPr>
                <w:rFonts w:ascii="Verdana" w:hAnsi="Verdana"/>
              </w:rPr>
              <w:fldChar w:fldCharType="separate"/>
            </w:r>
            <w:r w:rsidRPr="00E55CA7">
              <w:rPr>
                <w:rFonts w:ascii="Verdana" w:hAnsi="Verdana"/>
                <w:color w:val="0E568C"/>
                <w:vertAlign w:val="superscript"/>
              </w:rPr>
              <w:t>6</w:t>
            </w:r>
            <w:r w:rsidRPr="00E55CA7">
              <w:rPr>
                <w:rFonts w:ascii="Verdana" w:hAnsi="Verdana"/>
                <w:color w:val="0E568C"/>
                <w:vertAlign w:val="superscript"/>
              </w:rPr>
              <w:fldChar w:fldCharType="end"/>
            </w:r>
            <w:bookmarkEnd w:id="23"/>
          </w:p>
        </w:tc>
        <w:tc>
          <w:tcPr>
            <w:tcW w:w="9450" w:type="dxa"/>
          </w:tcPr>
          <w:p w14:paraId="4C352FA0" w14:textId="77777777" w:rsidR="00C62D91" w:rsidRPr="00E55CA7" w:rsidRDefault="00000000">
            <w:pPr>
              <w:pBdr>
                <w:bottom w:val="none" w:sz="0" w:space="8" w:color="auto"/>
              </w:pBdr>
              <w:spacing w:after="0" w:line="275" w:lineRule="atLeast"/>
              <w:jc w:val="both"/>
              <w:rPr>
                <w:rFonts w:ascii="Verdana" w:hAnsi="Verdana"/>
              </w:rPr>
            </w:pPr>
            <w:r w:rsidRPr="00E55CA7">
              <w:rPr>
                <w:rFonts w:ascii="Verdana" w:hAnsi="Verdana"/>
                <w:color w:val="000000"/>
              </w:rPr>
              <w:t>The Complaint also asserts a claim for violation of the Florida Deceptive and Unfair Trade Practices Act, on behalf of Baz and a proposed class of Florida residents. (</w:t>
            </w:r>
            <w:proofErr w:type="spellStart"/>
            <w:r w:rsidRPr="00E55CA7">
              <w:rPr>
                <w:rFonts w:ascii="Verdana" w:hAnsi="Verdana"/>
                <w:color w:val="000000"/>
              </w:rPr>
              <w:t>Compl</w:t>
            </w:r>
            <w:proofErr w:type="spellEnd"/>
            <w:r w:rsidRPr="00E55CA7">
              <w:rPr>
                <w:rFonts w:ascii="Verdana" w:hAnsi="Verdana"/>
                <w:color w:val="000000"/>
              </w:rPr>
              <w:t>. ¶¶ 126-137). However, the Court understands that Baz's voluntary dismissal of his claims disposed of this claim (</w:t>
            </w:r>
            <w:r w:rsidRPr="00E55CA7">
              <w:rPr>
                <w:rFonts w:ascii="Verdana" w:hAnsi="Verdana"/>
                <w:i/>
                <w:color w:val="000000"/>
              </w:rPr>
              <w:t>see</w:t>
            </w:r>
            <w:r w:rsidRPr="00E55CA7">
              <w:rPr>
                <w:rFonts w:ascii="Verdana" w:hAnsi="Verdana"/>
                <w:color w:val="000000"/>
              </w:rPr>
              <w:t xml:space="preserve"> </w:t>
            </w:r>
            <w:proofErr w:type="spellStart"/>
            <w:r w:rsidRPr="00E55CA7">
              <w:rPr>
                <w:rFonts w:ascii="Verdana" w:hAnsi="Verdana"/>
                <w:color w:val="000000"/>
              </w:rPr>
              <w:t>Dkt</w:t>
            </w:r>
            <w:proofErr w:type="spellEnd"/>
            <w:r w:rsidRPr="00E55CA7">
              <w:rPr>
                <w:rFonts w:ascii="Verdana" w:hAnsi="Verdana"/>
                <w:color w:val="000000"/>
              </w:rPr>
              <w:t>. #54), and the parties do not address it in their briefing.</w:t>
            </w:r>
          </w:p>
        </w:tc>
      </w:tr>
    </w:tbl>
    <w:p w14:paraId="1971D245" w14:textId="77777777" w:rsidR="00C62D91" w:rsidRPr="00E55CA7" w:rsidRDefault="00C62D91">
      <w:pPr>
        <w:spacing w:after="0" w:line="240" w:lineRule="auto"/>
        <w:rPr>
          <w:rFonts w:ascii="Verdana" w:hAnsi="Verdana"/>
        </w:rPr>
      </w:pPr>
    </w:p>
    <w:p w14:paraId="4975F8B1" w14:textId="77777777" w:rsidR="000E025F" w:rsidRPr="00E55CA7" w:rsidRDefault="000E025F">
      <w:pPr>
        <w:rPr>
          <w:rFonts w:ascii="Verdana" w:hAnsi="Verdana"/>
        </w:rPr>
      </w:pPr>
    </w:p>
    <w:sectPr w:rsidR="000E025F" w:rsidRPr="00E55CA7">
      <w:headerReference w:type="even" r:id="rId31"/>
      <w:headerReference w:type="default" r:id="rId32"/>
      <w:footerReference w:type="even" r:id="rId33"/>
      <w:footerReference w:type="default" r:id="rId34"/>
      <w:pgSz w:w="12240" w:h="15840"/>
      <w:pgMar w:top="180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9364" w14:textId="77777777" w:rsidR="007924A3" w:rsidRDefault="007924A3">
      <w:pPr>
        <w:spacing w:after="0" w:line="240" w:lineRule="auto"/>
      </w:pPr>
      <w:r>
        <w:separator/>
      </w:r>
    </w:p>
  </w:endnote>
  <w:endnote w:type="continuationSeparator" w:id="0">
    <w:p w14:paraId="06A7C45A" w14:textId="77777777" w:rsidR="007924A3" w:rsidRDefault="0079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6CE4" w14:textId="77777777" w:rsidR="006E0733"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32CF" w14:textId="77777777" w:rsidR="006E0733"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17C2" w14:textId="77777777" w:rsidR="007924A3" w:rsidRDefault="007924A3">
      <w:pPr>
        <w:spacing w:after="0" w:line="240" w:lineRule="auto"/>
      </w:pPr>
      <w:r>
        <w:separator/>
      </w:r>
    </w:p>
  </w:footnote>
  <w:footnote w:type="continuationSeparator" w:id="0">
    <w:p w14:paraId="25FAA313" w14:textId="77777777" w:rsidR="007924A3" w:rsidRDefault="00792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77D8" w14:textId="77777777" w:rsidR="00C62D91"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571A" w14:textId="77777777" w:rsidR="00C62D91"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62D91"/>
    <w:rsid w:val="000E025F"/>
    <w:rsid w:val="00494D52"/>
    <w:rsid w:val="004E058A"/>
    <w:rsid w:val="006E0733"/>
    <w:rsid w:val="007924A3"/>
    <w:rsid w:val="00800992"/>
    <w:rsid w:val="008D3A8D"/>
    <w:rsid w:val="00980E1F"/>
    <w:rsid w:val="00996EAE"/>
    <w:rsid w:val="00C62D91"/>
    <w:rsid w:val="00C64C1E"/>
    <w:rsid w:val="00E5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A7B10"/>
  <w15:docId w15:val="{324FA53F-A96C-4E63-82AA-219AC67E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CA7"/>
  </w:style>
  <w:style w:type="paragraph" w:styleId="Footer">
    <w:name w:val="footer"/>
    <w:basedOn w:val="Normal"/>
    <w:link w:val="FooterChar"/>
    <w:uiPriority w:val="99"/>
    <w:unhideWhenUsed/>
    <w:rsid w:val="00E5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1975121928&amp;pubNum=0000605&amp;originatingDoc=I7fda44c0f5c711ebbb39f6d769114351&amp;refType=RP&amp;fi=co_pp_sp_605_503&amp;originationContext=document&amp;vr=3.0&amp;rs=cblt1.0&amp;transitionType=DocumentItem&amp;contextData=(sc.Search)" TargetMode="External"/><Relationship Id="rId18" Type="http://schemas.openxmlformats.org/officeDocument/2006/relationships/hyperlink" Target="https://www.westlaw.com/Link/Document/FullText?findType=Y&amp;serNum=2042145363&amp;pubNum=0000999&amp;originatingDoc=I7fda44c0f5c711ebbb39f6d769114351&amp;refType=RP&amp;originationContext=document&amp;vr=3.0&amp;rs=cblt1.0&amp;transitionType=DocumentItem&amp;contextData=(sc.Search)" TargetMode="External"/><Relationship Id="rId26" Type="http://schemas.openxmlformats.org/officeDocument/2006/relationships/hyperlink" Target="https://www.westlaw.com/Link/Document/FullText?findType=Y&amp;serNum=2044364636&amp;pubNum=0000506&amp;originatingDoc=I7fda44c0f5c711ebbb39f6d769114351&amp;refType=RP&amp;fi=co_pp_sp_506_1030&amp;originationContext=document&amp;vr=3.0&amp;rs=cblt1.0&amp;transitionType=DocumentItem&amp;contextData=(sc.Search)" TargetMode="External"/><Relationship Id="rId3" Type="http://schemas.openxmlformats.org/officeDocument/2006/relationships/webSettings" Target="webSettings.xml"/><Relationship Id="rId21" Type="http://schemas.openxmlformats.org/officeDocument/2006/relationships/hyperlink" Target="https://www.westlaw.com/Link/Document/FullText?findType=Y&amp;serNum=2053855421&amp;pubNum=0000999&amp;originatingDoc=I7fda44c0f5c711ebbb39f6d769114351&amp;refType=RP&amp;originationContext=document&amp;vr=3.0&amp;rs=cblt1.0&amp;transitionType=DocumentItem&amp;contextData=(sc.Search)" TargetMode="External"/><Relationship Id="rId34" Type="http://schemas.openxmlformats.org/officeDocument/2006/relationships/footer" Target="footer2.xml"/><Relationship Id="rId7" Type="http://schemas.openxmlformats.org/officeDocument/2006/relationships/hyperlink" Target="https://www.westlaw.com/Link/Document/FullText?findType=Y&amp;serNum=1996173361&amp;pubNum=0000506&amp;originatingDoc=I7fda44c0f5c711ebbb39f6d769114351&amp;refType=RP&amp;fi=co_pp_sp_506_348&amp;originationContext=document&amp;vr=3.0&amp;rs=cblt1.0&amp;transitionType=DocumentItem&amp;contextData=(sc.Search)" TargetMode="External"/><Relationship Id="rId12" Type="http://schemas.openxmlformats.org/officeDocument/2006/relationships/hyperlink" Target="https://www.westlaw.com/Link/Document/FullText?findType=Y&amp;serNum=2020193006&amp;pubNum=0000506&amp;originatingDoc=I7fda44c0f5c711ebbb39f6d769114351&amp;refType=RP&amp;fi=co_pp_sp_506_506&amp;originationContext=document&amp;vr=3.0&amp;rs=cblt1.0&amp;transitionType=DocumentItem&amp;contextData=(sc.Search)" TargetMode="External"/><Relationship Id="rId17" Type="http://schemas.openxmlformats.org/officeDocument/2006/relationships/hyperlink" Target="https://www.westlaw.com/Link/Document/FullText?findType=Y&amp;serNum=2037281350&amp;pubNum=0007903&amp;originatingDoc=I7fda44c0f5c711ebbb39f6d769114351&amp;refType=RP&amp;fi=co_pp_sp_7903_675&amp;originationContext=document&amp;vr=3.0&amp;rs=cblt1.0&amp;transitionType=DocumentItem&amp;contextData=(sc.Search)" TargetMode="External"/><Relationship Id="rId25" Type="http://schemas.openxmlformats.org/officeDocument/2006/relationships/hyperlink" Target="https://www.westlaw.com/Link/Document/FullText?findType=Y&amp;serNum=2016362085&amp;pubNum=0000780&amp;originatingDoc=I7fda44c0f5c711ebbb39f6d769114351&amp;refType=RP&amp;fi=co_pp_sp_780_273&amp;originationContext=document&amp;vr=3.0&amp;rs=cblt1.0&amp;transitionType=DocumentItem&amp;contextData=(sc.Search)"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westlaw.com/Link/Document/FullText?findType=Y&amp;serNum=2042815548&amp;pubNum=0007903&amp;originatingDoc=I7fda44c0f5c711ebbb39f6d769114351&amp;refType=RP&amp;fi=co_pp_sp_7903_750&amp;originationContext=document&amp;vr=3.0&amp;rs=cblt1.0&amp;transitionType=DocumentItem&amp;contextData=(sc.Search)" TargetMode="External"/><Relationship Id="rId20" Type="http://schemas.openxmlformats.org/officeDocument/2006/relationships/hyperlink" Target="https://www.westlaw.com/Link/Document/FullText?findType=Y&amp;serNum=2051627866&amp;pubNum=0000506&amp;originatingDoc=I7fda44c0f5c711ebbb39f6d769114351&amp;refType=RP&amp;fi=co_pp_sp_506_120&amp;originationContext=document&amp;vr=3.0&amp;rs=cblt1.0&amp;transitionType=DocumentItem&amp;contextData=(sc.Search)" TargetMode="External"/><Relationship Id="rId29" Type="http://schemas.openxmlformats.org/officeDocument/2006/relationships/hyperlink" Target="https://www.westlaw.com/Link/Document/FullText?findType=L&amp;pubNum=1000600&amp;cite=USFRCPR12&amp;originatingDoc=I7fda44c0f5c711ebbb39f6d769114351&amp;refType=LQ&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hyperlink" Target="https://www.westlaw.com/Link/Document/FullText?findType=Y&amp;serNum=2049805833&amp;pubNum=0000999&amp;originatingDoc=I7fda44c0f5c711ebbb39f6d769114351&amp;refType=RP&amp;originationContext=document&amp;vr=3.0&amp;rs=cblt1.0&amp;transitionType=DocumentItem&amp;contextData=(sc.Search)" TargetMode="External"/><Relationship Id="rId11" Type="http://schemas.openxmlformats.org/officeDocument/2006/relationships/hyperlink" Target="https://www.westlaw.com/Link/Document/FullText?findType=Y&amp;serNum=2024559791&amp;pubNum=0007048&amp;originatingDoc=I7fda44c0f5c711ebbb39f6d769114351&amp;refType=RP&amp;fi=co_pp_sp_7048_181&amp;originationContext=document&amp;vr=3.0&amp;rs=cblt1.0&amp;transitionType=DocumentItem&amp;contextData=(sc.Search)" TargetMode="External"/><Relationship Id="rId24" Type="http://schemas.openxmlformats.org/officeDocument/2006/relationships/hyperlink" Target="https://www.westlaw.com/Link/Document/FullText?findType=Y&amp;serNum=2044364636&amp;pubNum=0000506&amp;originatingDoc=I7fda44c0f5c711ebbb39f6d769114351&amp;refType=RP&amp;fi=co_pp_sp_506_1029&amp;originationContext=document&amp;vr=3.0&amp;rs=cblt1.0&amp;transitionType=DocumentItem&amp;contextData=(sc.Search)"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westlaw.com/Link/Document/FullText?findType=Y&amp;serNum=2007431667&amp;pubNum=0004637&amp;originatingDoc=I7fda44c0f5c711ebbb39f6d769114351&amp;refType=RP&amp;fi=co_pp_sp_4637_247&amp;originationContext=document&amp;vr=3.0&amp;rs=cblt1.0&amp;transitionType=DocumentItem&amp;contextData=(sc.Search)" TargetMode="External"/><Relationship Id="rId23" Type="http://schemas.openxmlformats.org/officeDocument/2006/relationships/hyperlink" Target="https://www.westlaw.com/Link/Document/FullText?findType=Y&amp;serNum=2048538220&amp;pubNum=0000506&amp;originatingDoc=I7fda44c0f5c711ebbb39f6d769114351&amp;refType=RP&amp;fi=co_pp_sp_506_60&amp;originationContext=document&amp;vr=3.0&amp;rs=cblt1.0&amp;transitionType=DocumentItem&amp;contextData=(sc.Search)" TargetMode="External"/><Relationship Id="rId28" Type="http://schemas.openxmlformats.org/officeDocument/2006/relationships/hyperlink" Target="https://www.westlaw.com/Link/Document/FullText?findType=Y&amp;serNum=2004152835&amp;pubNum=0000780&amp;originatingDoc=I7fda44c0f5c711ebbb39f6d769114351&amp;refType=RP&amp;fi=co_pp_sp_780_624&amp;originationContext=document&amp;vr=3.0&amp;rs=cblt1.0&amp;transitionType=DocumentItem&amp;contextData=(sc.Search)" TargetMode="External"/><Relationship Id="rId36" Type="http://schemas.openxmlformats.org/officeDocument/2006/relationships/theme" Target="theme/theme1.xml"/><Relationship Id="rId10" Type="http://schemas.openxmlformats.org/officeDocument/2006/relationships/hyperlink" Target="https://www.westlaw.com/Link/Document/FullText?findType=Y&amp;serNum=2042903976&amp;pubNum=0007980&amp;originatingDoc=I7fda44c0f5c711ebbb39f6d769114351&amp;refType=RP&amp;fi=co_pp_sp_7980_462&amp;originationContext=document&amp;vr=3.0&amp;rs=cblt1.0&amp;transitionType=DocumentItem&amp;contextData=(sc.Search)" TargetMode="External"/><Relationship Id="rId19" Type="http://schemas.openxmlformats.org/officeDocument/2006/relationships/hyperlink" Target="https://www.westlaw.com/Link/Document/FullText?findType=L&amp;pubNum=1000600&amp;cite=USFRCPR12&amp;originatingDoc=I7fda44c0f5c711ebbb39f6d769114351&amp;refType=LQ&amp;originationContext=document&amp;vr=3.0&amp;rs=cblt1.0&amp;transitionType=DocumentItem&amp;contextData=(sc.Search)"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estlaw.com/Link/Document/FullText?findType=Y&amp;serNum=2012313319&amp;pubNum=0000506&amp;originatingDoc=I7fda44c0f5c711ebbb39f6d769114351&amp;refType=RP&amp;fi=co_pp_sp_506_95&amp;originationContext=document&amp;vr=3.0&amp;rs=cblt1.0&amp;transitionType=DocumentItem&amp;contextData=(sc.Search)" TargetMode="External"/><Relationship Id="rId14" Type="http://schemas.openxmlformats.org/officeDocument/2006/relationships/hyperlink" Target="https://www.westlaw.com/Link/Document/FullText?findType=Y&amp;serNum=2001518256&amp;pubNum=0000605&amp;originatingDoc=I7fda44c0f5c711ebbb39f6d769114351&amp;refType=RP&amp;fi=co_pp_sp_605_317&amp;originationContext=document&amp;vr=3.0&amp;rs=cblt1.0&amp;transitionType=DocumentItem&amp;contextData=(sc.Search)" TargetMode="External"/><Relationship Id="rId22" Type="http://schemas.openxmlformats.org/officeDocument/2006/relationships/hyperlink" Target="https://www.westlaw.com/Link/Document/FullText?findType=Y&amp;serNum=2000030466&amp;pubNum=0000506&amp;originatingDoc=I7fda44c0f5c711ebbb39f6d769114351&amp;refType=RP&amp;fi=co_pp_sp_506_113&amp;originationContext=document&amp;vr=3.0&amp;rs=cblt1.0&amp;transitionType=DocumentItem&amp;contextData=(sc.Search)" TargetMode="External"/><Relationship Id="rId27" Type="http://schemas.openxmlformats.org/officeDocument/2006/relationships/hyperlink" Target="https://www.westlaw.com/Link/Document/FullText?findType=Y&amp;serNum=2053309960&amp;pubNum=0000999&amp;originatingDoc=I7fda44c0f5c711ebbb39f6d769114351&amp;refType=RP&amp;originationContext=document&amp;vr=3.0&amp;rs=cblt1.0&amp;transitionType=DocumentItem&amp;contextData=(sc.Search)" TargetMode="External"/><Relationship Id="rId30" Type="http://schemas.openxmlformats.org/officeDocument/2006/relationships/hyperlink" Target="https://www.westlaw.com/Link/Document/FullText?findType=L&amp;pubNum=1000600&amp;cite=USFRCPR12&amp;originatingDoc=I7fda44c0f5c711ebbb39f6d769114351&amp;refType=LQ&amp;originationContext=document&amp;vr=3.0&amp;rs=cblt1.0&amp;transitionType=DocumentItem&amp;contextData=(sc.Search)" TargetMode="External"/><Relationship Id="rId35" Type="http://schemas.openxmlformats.org/officeDocument/2006/relationships/fontTable" Target="fontTable.xml"/><Relationship Id="rId8" Type="http://schemas.openxmlformats.org/officeDocument/2006/relationships/hyperlink" Target="https://www.westlaw.com/Link/Document/FullText?findType=Y&amp;serNum=2032960989&amp;pubNum=0007903&amp;originatingDoc=I7fda44c0f5c711ebbb39f6d769114351&amp;refType=RP&amp;fi=co_pp_sp_7903_336&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4364</Words>
  <Characters>24880</Characters>
  <Application>Microsoft Office Word</Application>
  <DocSecurity>0</DocSecurity>
  <Lines>207</Lines>
  <Paragraphs>58</Paragraphs>
  <ScaleCrop>false</ScaleCrop>
  <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Warner</cp:lastModifiedBy>
  <cp:revision>8</cp:revision>
  <dcterms:created xsi:type="dcterms:W3CDTF">2022-10-30T20:20:00Z</dcterms:created>
  <dcterms:modified xsi:type="dcterms:W3CDTF">2022-11-26T20:32:00Z</dcterms:modified>
</cp:coreProperties>
</file>